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D5" w:rsidRPr="00B2793A" w:rsidRDefault="00F3677D" w:rsidP="009D6EA4">
      <w:pPr>
        <w:tabs>
          <w:tab w:val="left" w:pos="540"/>
        </w:tabs>
        <w:autoSpaceDE w:val="0"/>
        <w:autoSpaceDN w:val="0"/>
        <w:adjustRightInd w:val="0"/>
        <w:spacing w:after="0" w:line="240" w:lineRule="auto"/>
        <w:jc w:val="both"/>
        <w:rPr>
          <w:rFonts w:cstheme="minorHAnsi"/>
          <w:b/>
        </w:rPr>
      </w:pPr>
      <w:r w:rsidRPr="00B2793A">
        <w:rPr>
          <w:rFonts w:cstheme="minorHAnsi"/>
          <w:b/>
        </w:rPr>
        <w:t>ANNUAL</w:t>
      </w:r>
      <w:r w:rsidR="00FD17D5" w:rsidRPr="00B2793A">
        <w:rPr>
          <w:rFonts w:cstheme="minorHAnsi"/>
          <w:b/>
        </w:rPr>
        <w:t xml:space="preserve"> PROGRESS REPORT: 2013</w:t>
      </w:r>
    </w:p>
    <w:p w:rsidR="009D6EA4" w:rsidRPr="00B2793A" w:rsidRDefault="009D6EA4" w:rsidP="009D6EA4">
      <w:pPr>
        <w:tabs>
          <w:tab w:val="left" w:pos="540"/>
        </w:tabs>
        <w:autoSpaceDE w:val="0"/>
        <w:autoSpaceDN w:val="0"/>
        <w:adjustRightInd w:val="0"/>
        <w:spacing w:after="0" w:line="240" w:lineRule="auto"/>
        <w:jc w:val="both"/>
        <w:rPr>
          <w:rFonts w:cstheme="minorHAnsi"/>
          <w:b/>
        </w:rPr>
      </w:pPr>
    </w:p>
    <w:tbl>
      <w:tblPr>
        <w:tblStyle w:val="LightList-Accent12"/>
        <w:tblW w:w="9738" w:type="dxa"/>
        <w:tblLayout w:type="fixed"/>
        <w:tblLook w:val="00A0" w:firstRow="1" w:lastRow="0" w:firstColumn="1" w:lastColumn="0" w:noHBand="0" w:noVBand="0"/>
      </w:tblPr>
      <w:tblGrid>
        <w:gridCol w:w="9738"/>
      </w:tblGrid>
      <w:tr w:rsidR="00B2793A" w:rsidRPr="00B2793A" w:rsidTr="00450DF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8" w:type="dxa"/>
            <w:vAlign w:val="center"/>
          </w:tcPr>
          <w:p w:rsidR="009D6EA4" w:rsidRPr="00B2793A" w:rsidRDefault="009D6EA4" w:rsidP="009D6EA4">
            <w:pPr>
              <w:keepNext/>
              <w:rPr>
                <w:rFonts w:asciiTheme="minorHAnsi" w:hAnsiTheme="minorHAnsi" w:cstheme="minorHAnsi"/>
                <w:b w:val="0"/>
                <w:bCs w:val="0"/>
                <w:smallCaps/>
                <w:color w:val="auto"/>
                <w:lang w:val="en-US"/>
              </w:rPr>
            </w:pPr>
            <w:r w:rsidRPr="00B2793A">
              <w:rPr>
                <w:rFonts w:asciiTheme="minorHAnsi" w:hAnsiTheme="minorHAnsi" w:cstheme="minorHAnsi"/>
                <w:smallCaps/>
                <w:lang w:val="en-US"/>
              </w:rPr>
              <w:t>Ghana (Phase 2)</w:t>
            </w:r>
          </w:p>
        </w:tc>
      </w:tr>
    </w:tbl>
    <w:p w:rsidR="009D6EA4" w:rsidRPr="00B2793A" w:rsidRDefault="009D6EA4" w:rsidP="009D6EA4">
      <w:pPr>
        <w:keepNext/>
        <w:spacing w:after="0" w:line="240" w:lineRule="auto"/>
        <w:rPr>
          <w:rFonts w:cs="Calibri"/>
        </w:rPr>
      </w:pPr>
      <w:r w:rsidRPr="00B2793A">
        <w:rPr>
          <w:rFonts w:cs="Calibri"/>
          <w:b/>
          <w:bCs/>
        </w:rPr>
        <w:t>Area</w:t>
      </w:r>
      <w:r w:rsidRPr="00B2793A">
        <w:rPr>
          <w:rFonts w:cs="Calibri"/>
        </w:rPr>
        <w:t xml:space="preserve">: Public </w:t>
      </w:r>
    </w:p>
    <w:p w:rsidR="009D6EA4" w:rsidRPr="00B2793A" w:rsidRDefault="009D6EA4" w:rsidP="009D6EA4">
      <w:pPr>
        <w:keepNext/>
        <w:spacing w:after="0" w:line="240" w:lineRule="auto"/>
        <w:rPr>
          <w:rFonts w:cs="Calibri"/>
        </w:rPr>
      </w:pPr>
      <w:r w:rsidRPr="00B2793A">
        <w:rPr>
          <w:rFonts w:cs="Calibri"/>
          <w:b/>
          <w:bCs/>
        </w:rPr>
        <w:t>Scope</w:t>
      </w:r>
      <w:r w:rsidRPr="00B2793A">
        <w:rPr>
          <w:rFonts w:cs="Calibri"/>
        </w:rPr>
        <w:t>: GHG NIS, NAMAs, LEDS, MRV</w:t>
      </w:r>
    </w:p>
    <w:p w:rsidR="009D6EA4" w:rsidRPr="00B2793A" w:rsidRDefault="009D6EA4" w:rsidP="009D6EA4">
      <w:pPr>
        <w:keepNext/>
        <w:spacing w:after="0" w:line="240" w:lineRule="auto"/>
        <w:rPr>
          <w:rFonts w:cs="Calibri"/>
        </w:rPr>
      </w:pPr>
      <w:r w:rsidRPr="00B2793A">
        <w:rPr>
          <w:rFonts w:cs="Calibri"/>
          <w:b/>
          <w:bCs/>
        </w:rPr>
        <w:t>Sectors</w:t>
      </w:r>
      <w:r w:rsidRPr="00B2793A">
        <w:rPr>
          <w:rFonts w:cs="Calibri"/>
        </w:rPr>
        <w:t>: Energy</w:t>
      </w:r>
    </w:p>
    <w:p w:rsidR="009D6EA4" w:rsidRPr="00B2793A" w:rsidRDefault="009D6EA4" w:rsidP="009D6EA4">
      <w:pPr>
        <w:keepNext/>
        <w:spacing w:after="0" w:line="240" w:lineRule="auto"/>
        <w:rPr>
          <w:rFonts w:cs="Calibri"/>
        </w:rPr>
      </w:pPr>
      <w:r w:rsidRPr="00B2793A">
        <w:rPr>
          <w:rFonts w:cs="Calibri"/>
          <w:b/>
          <w:bCs/>
        </w:rPr>
        <w:t>National Implementing Agency</w:t>
      </w:r>
      <w:r w:rsidRPr="00B2793A">
        <w:rPr>
          <w:rFonts w:cs="Calibri"/>
        </w:rPr>
        <w:t>: Directorate for Environment, Ministry of Environment, Science and Technology and Innovation (MESTI)</w:t>
      </w:r>
    </w:p>
    <w:p w:rsidR="009D6EA4" w:rsidRPr="00B2793A" w:rsidRDefault="009D6EA4" w:rsidP="009D6EA4">
      <w:pPr>
        <w:keepNext/>
        <w:spacing w:after="0" w:line="240" w:lineRule="auto"/>
        <w:rPr>
          <w:rFonts w:cs="Calibri"/>
        </w:rPr>
      </w:pPr>
    </w:p>
    <w:p w:rsidR="009D6EA4" w:rsidRPr="00B2793A" w:rsidRDefault="009D6EA4" w:rsidP="009D6EA4">
      <w:pPr>
        <w:spacing w:after="0" w:line="240" w:lineRule="auto"/>
        <w:jc w:val="both"/>
        <w:rPr>
          <w:rFonts w:cs="Calibri"/>
          <w:bCs/>
        </w:rPr>
      </w:pPr>
      <w:r w:rsidRPr="00B2793A">
        <w:rPr>
          <w:rFonts w:cs="Calibri"/>
          <w:bCs/>
        </w:rPr>
        <w:t xml:space="preserve">The first Project Steering Committee meeting was held on 11 July, where committee members approved their Terms of Reference, as well as the 2013 work plan and budget. </w:t>
      </w:r>
      <w:r w:rsidR="001442A0" w:rsidRPr="00B2793A">
        <w:rPr>
          <w:rFonts w:cs="Calibri"/>
          <w:bCs/>
        </w:rPr>
        <w:t>In the initial phase of project implementation</w:t>
      </w:r>
      <w:r w:rsidRPr="00B2793A">
        <w:rPr>
          <w:rFonts w:cs="Calibri"/>
          <w:bCs/>
        </w:rPr>
        <w:t xml:space="preserve">, </w:t>
      </w:r>
      <w:r w:rsidR="001442A0" w:rsidRPr="00B2793A">
        <w:rPr>
          <w:rFonts w:cs="Calibri"/>
          <w:bCs/>
        </w:rPr>
        <w:t xml:space="preserve">three </w:t>
      </w:r>
      <w:r w:rsidRPr="00B2793A">
        <w:rPr>
          <w:rFonts w:cs="Calibri"/>
          <w:bCs/>
        </w:rPr>
        <w:t xml:space="preserve">project technical working groups </w:t>
      </w:r>
      <w:r w:rsidR="001442A0" w:rsidRPr="00B2793A">
        <w:rPr>
          <w:rFonts w:cs="Calibri"/>
          <w:bCs/>
        </w:rPr>
        <w:t xml:space="preserve">(one for each project outcome) were created and </w:t>
      </w:r>
      <w:r w:rsidRPr="00B2793A">
        <w:rPr>
          <w:rFonts w:cs="Calibri"/>
          <w:bCs/>
        </w:rPr>
        <w:t>met to agree on an implementation strategy for the three project outcomes and the coordination mechanisms to ensure timely deliverables.</w:t>
      </w:r>
    </w:p>
    <w:p w:rsidR="009D6EA4" w:rsidRPr="00B2793A" w:rsidRDefault="009D6EA4" w:rsidP="009D6EA4">
      <w:pPr>
        <w:spacing w:after="0" w:line="240" w:lineRule="auto"/>
        <w:jc w:val="both"/>
        <w:rPr>
          <w:rFonts w:cs="Calibri"/>
          <w:bCs/>
        </w:rPr>
      </w:pPr>
    </w:p>
    <w:p w:rsidR="009D6EA4" w:rsidRPr="00B2793A" w:rsidRDefault="009D6EA4" w:rsidP="009D6EA4">
      <w:pPr>
        <w:keepNext/>
        <w:spacing w:after="0" w:line="240" w:lineRule="auto"/>
        <w:jc w:val="both"/>
        <w:rPr>
          <w:rFonts w:cs="Calibri"/>
          <w:bCs/>
        </w:rPr>
      </w:pPr>
      <w:r w:rsidRPr="00B2793A">
        <w:rPr>
          <w:rFonts w:cs="Calibri"/>
          <w:bCs/>
          <w:i/>
          <w:u w:val="single"/>
        </w:rPr>
        <w:t xml:space="preserve">Outcome1: Up to 2 financeable energy-related NAMAs formulated in the context of national development priorities, including the associated MRV </w:t>
      </w:r>
      <w:r w:rsidRPr="00B2793A">
        <w:rPr>
          <w:rFonts w:cs="Calibri"/>
          <w:i/>
          <w:u w:val="single"/>
        </w:rPr>
        <w:t>system</w:t>
      </w:r>
      <w:r w:rsidRPr="00B2793A">
        <w:rPr>
          <w:rFonts w:cs="Calibri"/>
          <w:bCs/>
        </w:rPr>
        <w:t xml:space="preserve"> </w:t>
      </w:r>
    </w:p>
    <w:p w:rsidR="009D6EA4" w:rsidRPr="00B2793A" w:rsidRDefault="009D6EA4" w:rsidP="009D6EA4">
      <w:pPr>
        <w:spacing w:after="0" w:line="240" w:lineRule="auto"/>
        <w:jc w:val="both"/>
        <w:rPr>
          <w:rFonts w:cs="Calibri"/>
          <w:bCs/>
        </w:rPr>
      </w:pPr>
    </w:p>
    <w:p w:rsidR="009D6EA4" w:rsidRPr="00B2793A" w:rsidRDefault="009D6EA4" w:rsidP="009D6EA4">
      <w:pPr>
        <w:spacing w:after="0" w:line="240" w:lineRule="auto"/>
        <w:jc w:val="both"/>
        <w:rPr>
          <w:rFonts w:cs="Calibri"/>
          <w:bCs/>
        </w:rPr>
      </w:pPr>
      <w:r w:rsidRPr="00B2793A">
        <w:rPr>
          <w:rFonts w:cs="Calibri"/>
          <w:bCs/>
        </w:rPr>
        <w:t>Project partners held bilateral discussions with a number of energy-related organizations and companies (e.g. Volta River Authority, Energy Commission) to explore interest and potential opportunities for collaboration in NAMA development.</w:t>
      </w:r>
      <w:r w:rsidR="00300A22" w:rsidRPr="00B2793A">
        <w:rPr>
          <w:rFonts w:cs="Calibri"/>
          <w:bCs/>
        </w:rPr>
        <w:t xml:space="preserve"> Informal consultation meeting was held on 26 November to facilitate the selection of the two-energy related NAMAs. So far, out of the 12 identified, 5 have been prioritized. The five are (a) Promotion SMEs Participation Biogas Technology Penetration in Institutions, (b) Household and commercial EE promotion programs (bundling approach), (c) Incorporation of RE systems into households  and commercial activities, (d) Establishment of market-based cleaner cooking solutions and (f) Off-grid electrification and access development</w:t>
      </w:r>
      <w:r w:rsidR="00B2793A" w:rsidRPr="00B2793A">
        <w:rPr>
          <w:rFonts w:cs="Calibri"/>
          <w:bCs/>
        </w:rPr>
        <w:t xml:space="preserve"> (Refer to annex 1 for the report)</w:t>
      </w:r>
      <w:r w:rsidR="00300A22" w:rsidRPr="00B2793A">
        <w:rPr>
          <w:rFonts w:cs="Calibri"/>
          <w:bCs/>
        </w:rPr>
        <w:t xml:space="preserve">. In the </w:t>
      </w:r>
      <w:r w:rsidR="001442A0" w:rsidRPr="00B2793A">
        <w:rPr>
          <w:rFonts w:cs="Calibri"/>
          <w:bCs/>
        </w:rPr>
        <w:t>first quarter of 2014</w:t>
      </w:r>
      <w:r w:rsidR="00300A22" w:rsidRPr="00B2793A">
        <w:rPr>
          <w:rFonts w:cs="Calibri"/>
          <w:bCs/>
        </w:rPr>
        <w:t xml:space="preserve">, the formal consultation will be completed in order to select up-to-two NAMAs and </w:t>
      </w:r>
      <w:r w:rsidR="00537435" w:rsidRPr="00B2793A">
        <w:rPr>
          <w:rFonts w:cs="Calibri"/>
          <w:bCs/>
        </w:rPr>
        <w:t xml:space="preserve">well as establishment of the </w:t>
      </w:r>
      <w:r w:rsidR="00300A22" w:rsidRPr="00B2793A">
        <w:rPr>
          <w:rFonts w:cs="Calibri"/>
          <w:bCs/>
        </w:rPr>
        <w:t>governance structure</w:t>
      </w:r>
      <w:r w:rsidR="00537435" w:rsidRPr="00B2793A">
        <w:rPr>
          <w:rFonts w:cs="Calibri"/>
          <w:bCs/>
        </w:rPr>
        <w:t xml:space="preserve">. </w:t>
      </w:r>
    </w:p>
    <w:p w:rsidR="009D6EA4" w:rsidRPr="00B2793A" w:rsidRDefault="009D6EA4" w:rsidP="009D6EA4">
      <w:pPr>
        <w:spacing w:after="0" w:line="240" w:lineRule="auto"/>
        <w:jc w:val="both"/>
        <w:rPr>
          <w:rFonts w:cs="Calibri"/>
          <w:bCs/>
        </w:rPr>
      </w:pPr>
    </w:p>
    <w:p w:rsidR="009D6EA4" w:rsidRPr="00B2793A" w:rsidRDefault="009D6EA4" w:rsidP="009D6EA4">
      <w:pPr>
        <w:keepNext/>
        <w:spacing w:after="0" w:line="240" w:lineRule="auto"/>
        <w:jc w:val="both"/>
        <w:rPr>
          <w:rFonts w:cs="Calibri"/>
          <w:bCs/>
          <w:i/>
          <w:u w:val="single"/>
        </w:rPr>
      </w:pPr>
      <w:r w:rsidRPr="00B2793A">
        <w:rPr>
          <w:rFonts w:cs="Calibri"/>
          <w:bCs/>
          <w:i/>
          <w:u w:val="single"/>
        </w:rPr>
        <w:t>Outcome2: Ghana NAMAs Investor Guide reviewed and promoted among the business community</w:t>
      </w:r>
    </w:p>
    <w:p w:rsidR="009D6EA4" w:rsidRPr="00B2793A" w:rsidRDefault="009D6EA4" w:rsidP="009D6EA4">
      <w:pPr>
        <w:spacing w:after="0" w:line="240" w:lineRule="auto"/>
        <w:jc w:val="both"/>
        <w:rPr>
          <w:rFonts w:cs="Calibri"/>
          <w:bCs/>
        </w:rPr>
      </w:pPr>
    </w:p>
    <w:p w:rsidR="009D6EA4" w:rsidRPr="00B2793A" w:rsidRDefault="009D6EA4" w:rsidP="009D6EA4">
      <w:pPr>
        <w:spacing w:after="0" w:line="240" w:lineRule="auto"/>
        <w:jc w:val="both"/>
        <w:rPr>
          <w:rFonts w:cs="Calibri"/>
          <w:bCs/>
        </w:rPr>
      </w:pPr>
      <w:r w:rsidRPr="00B2793A">
        <w:rPr>
          <w:rFonts w:cs="Calibri"/>
          <w:bCs/>
        </w:rPr>
        <w:t xml:space="preserve">A team of consultants </w:t>
      </w:r>
      <w:r w:rsidR="001442A0" w:rsidRPr="00B2793A">
        <w:rPr>
          <w:rFonts w:cs="Calibri"/>
          <w:bCs/>
        </w:rPr>
        <w:t>have initiated the review and the finalization of</w:t>
      </w:r>
      <w:r w:rsidRPr="00B2793A">
        <w:rPr>
          <w:rFonts w:cs="Calibri"/>
          <w:bCs/>
        </w:rPr>
        <w:t xml:space="preserve"> the NAMA Investor Guide under the guidance of the Ghana Investment Promotion Centre. In particular, the focus is to ensure that the quality and presentation of the information in the Guide has the potential to attract local and international private investments in climate change mitigation/development projects in Ghana.</w:t>
      </w:r>
      <w:r w:rsidR="0024027A" w:rsidRPr="00B2793A">
        <w:rPr>
          <w:rFonts w:cs="Calibri"/>
          <w:bCs/>
        </w:rPr>
        <w:t xml:space="preserve"> After the extensive consultation with businesses, international organisation (eg. DFID), associations (Private Enterprise Federation), public sector Institutions, NGO (ISODEC) etc., consultants have provide a revised draft version of the guide. </w:t>
      </w:r>
      <w:r w:rsidR="001442A0" w:rsidRPr="00B2793A">
        <w:rPr>
          <w:rFonts w:cs="Calibri"/>
          <w:bCs/>
        </w:rPr>
        <w:t>I</w:t>
      </w:r>
      <w:r w:rsidR="0024027A" w:rsidRPr="00B2793A">
        <w:rPr>
          <w:rFonts w:cs="Calibri"/>
          <w:bCs/>
        </w:rPr>
        <w:t xml:space="preserve">n the </w:t>
      </w:r>
      <w:r w:rsidR="001442A0" w:rsidRPr="00B2793A">
        <w:rPr>
          <w:rFonts w:cs="Calibri"/>
          <w:bCs/>
        </w:rPr>
        <w:t xml:space="preserve">first </w:t>
      </w:r>
      <w:r w:rsidR="0024027A" w:rsidRPr="00B2793A">
        <w:rPr>
          <w:rFonts w:cs="Calibri"/>
          <w:bCs/>
        </w:rPr>
        <w:t>quarter</w:t>
      </w:r>
      <w:r w:rsidR="001442A0" w:rsidRPr="00B2793A">
        <w:rPr>
          <w:rFonts w:cs="Calibri"/>
          <w:bCs/>
        </w:rPr>
        <w:t xml:space="preserve"> of 2014</w:t>
      </w:r>
      <w:r w:rsidR="0024027A" w:rsidRPr="00B2793A">
        <w:rPr>
          <w:rFonts w:cs="Calibri"/>
          <w:bCs/>
        </w:rPr>
        <w:t xml:space="preserve">, the consultation will be extended to the international community to solicit their inputs.    </w:t>
      </w:r>
    </w:p>
    <w:p w:rsidR="009D6EA4" w:rsidRPr="00B2793A" w:rsidRDefault="009D6EA4" w:rsidP="009D6EA4">
      <w:pPr>
        <w:spacing w:after="0" w:line="240" w:lineRule="auto"/>
        <w:jc w:val="both"/>
        <w:rPr>
          <w:rFonts w:cs="Calibri"/>
          <w:bCs/>
        </w:rPr>
      </w:pPr>
    </w:p>
    <w:p w:rsidR="009D6EA4" w:rsidRPr="00B2793A" w:rsidRDefault="009D6EA4" w:rsidP="00B2793A">
      <w:pPr>
        <w:keepNext/>
        <w:spacing w:after="0" w:line="240" w:lineRule="auto"/>
        <w:jc w:val="both"/>
        <w:rPr>
          <w:rFonts w:cs="Calibri"/>
          <w:bCs/>
        </w:rPr>
      </w:pPr>
      <w:r w:rsidRPr="00B2793A">
        <w:rPr>
          <w:rFonts w:cs="Calibri"/>
          <w:bCs/>
          <w:i/>
          <w:u w:val="single"/>
        </w:rPr>
        <w:t xml:space="preserve">Outcome3: National system for preparation of GHG inventories </w:t>
      </w:r>
      <w:r w:rsidRPr="00B2793A">
        <w:rPr>
          <w:rFonts w:cs="Calibri"/>
          <w:i/>
          <w:u w:val="single"/>
        </w:rPr>
        <w:t>strengthened</w:t>
      </w:r>
      <w:r w:rsidRPr="00B2793A">
        <w:rPr>
          <w:rFonts w:cs="Calibri"/>
          <w:bCs/>
        </w:rPr>
        <w:t xml:space="preserve"> </w:t>
      </w:r>
    </w:p>
    <w:p w:rsidR="0024027A" w:rsidRPr="00B2793A" w:rsidRDefault="009D6EA4" w:rsidP="009D6EA4">
      <w:pPr>
        <w:spacing w:after="0" w:line="240" w:lineRule="auto"/>
        <w:jc w:val="both"/>
        <w:rPr>
          <w:rFonts w:cs="Calibri"/>
          <w:bCs/>
        </w:rPr>
      </w:pPr>
      <w:r w:rsidRPr="00B2793A">
        <w:rPr>
          <w:rFonts w:cs="Calibri"/>
          <w:bCs/>
        </w:rPr>
        <w:t>Design has commenced on the operational architecture and protocols for an online GHG inventory central database for documentation and archiving of all GHG inventory data.  Documentation and archiving of the data is considered paramount for any future work in this area, to guarantee greater transparency and sustainability of the national inventory system and institutional memory. The database will be located at the Environmental Protection Agency (EPA).</w:t>
      </w:r>
      <w:r w:rsidR="0024027A" w:rsidRPr="00B2793A">
        <w:rPr>
          <w:rFonts w:cs="Calibri"/>
          <w:bCs/>
        </w:rPr>
        <w:t xml:space="preserve"> </w:t>
      </w:r>
    </w:p>
    <w:p w:rsidR="00B2793A" w:rsidRDefault="00F3677D" w:rsidP="00F3677D">
      <w:pPr>
        <w:spacing w:after="0" w:line="240" w:lineRule="auto"/>
        <w:jc w:val="both"/>
        <w:rPr>
          <w:rFonts w:cs="Calibri"/>
          <w:bCs/>
        </w:rPr>
      </w:pPr>
      <w:r w:rsidRPr="00B2793A">
        <w:rPr>
          <w:rFonts w:cs="Calibri"/>
          <w:bCs/>
        </w:rPr>
        <w:lastRenderedPageBreak/>
        <w:t xml:space="preserve">Procurement and installation of all equipment and software have been completed. The database is undergoing testing and will be deployed to the targeted users and the general public in the </w:t>
      </w:r>
      <w:r w:rsidR="001442A0" w:rsidRPr="00B2793A">
        <w:rPr>
          <w:rFonts w:cs="Calibri"/>
          <w:bCs/>
        </w:rPr>
        <w:t xml:space="preserve">first </w:t>
      </w:r>
      <w:r w:rsidRPr="00B2793A">
        <w:rPr>
          <w:rFonts w:cs="Calibri"/>
          <w:bCs/>
        </w:rPr>
        <w:t>quarter</w:t>
      </w:r>
      <w:r w:rsidR="001442A0" w:rsidRPr="00B2793A">
        <w:rPr>
          <w:rFonts w:cs="Calibri"/>
          <w:bCs/>
        </w:rPr>
        <w:t xml:space="preserve"> of 2014</w:t>
      </w:r>
      <w:r w:rsidRPr="00B2793A">
        <w:rPr>
          <w:rFonts w:cs="Calibri"/>
          <w:bCs/>
        </w:rPr>
        <w:t>.</w:t>
      </w:r>
      <w:r w:rsidR="003B70E4" w:rsidRPr="00B2793A">
        <w:rPr>
          <w:rFonts w:cs="Calibri"/>
          <w:bCs/>
        </w:rPr>
        <w:t xml:space="preserve"> </w:t>
      </w:r>
      <w:r w:rsidR="00BE014E" w:rsidRPr="00B2793A">
        <w:rPr>
          <w:rFonts w:cs="Calibri"/>
          <w:bCs/>
        </w:rPr>
        <w:t>Snapshots of the online database template are</w:t>
      </w:r>
      <w:r w:rsidR="003B70E4" w:rsidRPr="00B2793A">
        <w:rPr>
          <w:rFonts w:cs="Calibri"/>
          <w:bCs/>
        </w:rPr>
        <w:t xml:space="preserve"> attached</w:t>
      </w:r>
      <w:r w:rsidR="00B2793A">
        <w:rPr>
          <w:rFonts w:cs="Calibri"/>
          <w:bCs/>
        </w:rPr>
        <w:t xml:space="preserve"> annex 2</w:t>
      </w:r>
      <w:r w:rsidR="003B70E4" w:rsidRPr="00B2793A">
        <w:rPr>
          <w:rFonts w:cs="Calibri"/>
          <w:bCs/>
        </w:rPr>
        <w:t>.</w:t>
      </w:r>
    </w:p>
    <w:p w:rsidR="00B2793A" w:rsidRDefault="00B2793A" w:rsidP="00F3677D">
      <w:pPr>
        <w:spacing w:after="0" w:line="240" w:lineRule="auto"/>
        <w:jc w:val="both"/>
        <w:rPr>
          <w:rFonts w:cs="Calibri"/>
          <w:bCs/>
        </w:rPr>
      </w:pPr>
    </w:p>
    <w:p w:rsidR="00B2793A" w:rsidRDefault="00B2793A" w:rsidP="00B2793A">
      <w:pPr>
        <w:spacing w:after="0" w:line="240" w:lineRule="auto"/>
        <w:jc w:val="both"/>
        <w:rPr>
          <w:rFonts w:cs="Calibri"/>
          <w:bCs/>
        </w:rPr>
      </w:pPr>
      <w:r>
        <w:rPr>
          <w:rFonts w:cs="Calibri"/>
          <w:bCs/>
        </w:rPr>
        <w:t xml:space="preserve">Back-to-back workshop on GHG data management and establishment of MRV data sharing network was held. It was attended by 70 participants from 30 different public, private, research institutions and the universities (refer annex 3 for the comprehensive report). </w:t>
      </w:r>
      <w:r w:rsidRPr="00B2793A">
        <w:rPr>
          <w:rFonts w:cs="Calibri"/>
          <w:bCs/>
        </w:rPr>
        <w:t>The workshops produced the following deliverables:</w:t>
      </w:r>
    </w:p>
    <w:p w:rsidR="00B2793A" w:rsidRPr="00B2793A" w:rsidRDefault="00B2793A" w:rsidP="00B2793A">
      <w:pPr>
        <w:spacing w:after="0" w:line="240" w:lineRule="auto"/>
        <w:jc w:val="both"/>
        <w:rPr>
          <w:rFonts w:cs="Calibri"/>
          <w:bCs/>
        </w:rPr>
      </w:pPr>
    </w:p>
    <w:p w:rsidR="00B2793A" w:rsidRPr="00B2793A" w:rsidRDefault="00B2793A" w:rsidP="00B2793A">
      <w:pPr>
        <w:pStyle w:val="ListParagraph"/>
        <w:numPr>
          <w:ilvl w:val="0"/>
          <w:numId w:val="18"/>
        </w:numPr>
        <w:jc w:val="both"/>
        <w:rPr>
          <w:bCs/>
        </w:rPr>
      </w:pPr>
      <w:r w:rsidRPr="00B2793A">
        <w:rPr>
          <w:bCs/>
        </w:rPr>
        <w:t>A revised</w:t>
      </w:r>
      <w:r w:rsidRPr="00B2793A">
        <w:rPr>
          <w:bCs/>
        </w:rPr>
        <w:t xml:space="preserve"> functional institutional arrangement for the</w:t>
      </w:r>
      <w:r>
        <w:rPr>
          <w:bCs/>
        </w:rPr>
        <w:t xml:space="preserve"> domestic MRV.</w:t>
      </w:r>
    </w:p>
    <w:p w:rsidR="00B2793A" w:rsidRPr="00B2793A" w:rsidRDefault="00B2793A" w:rsidP="00B2793A">
      <w:pPr>
        <w:pStyle w:val="ListParagraph"/>
        <w:numPr>
          <w:ilvl w:val="0"/>
          <w:numId w:val="18"/>
        </w:numPr>
        <w:jc w:val="both"/>
        <w:rPr>
          <w:bCs/>
        </w:rPr>
      </w:pPr>
      <w:r w:rsidRPr="00B2793A">
        <w:rPr>
          <w:bCs/>
        </w:rPr>
        <w:t>List of existing mechanisms for collecting and tracking data on implementation of mitig</w:t>
      </w:r>
      <w:r>
        <w:rPr>
          <w:bCs/>
        </w:rPr>
        <w:t>ation actions.</w:t>
      </w:r>
    </w:p>
    <w:p w:rsidR="00B2793A" w:rsidRPr="00B2793A" w:rsidRDefault="00B2793A" w:rsidP="00B2793A">
      <w:pPr>
        <w:pStyle w:val="ListParagraph"/>
        <w:numPr>
          <w:ilvl w:val="0"/>
          <w:numId w:val="18"/>
        </w:numPr>
        <w:jc w:val="both"/>
        <w:rPr>
          <w:bCs/>
        </w:rPr>
      </w:pPr>
      <w:r w:rsidRPr="00B2793A">
        <w:rPr>
          <w:bCs/>
        </w:rPr>
        <w:t>List of possible mitigation actions elicited from th</w:t>
      </w:r>
      <w:r>
        <w:rPr>
          <w:bCs/>
        </w:rPr>
        <w:t>e sectors.</w:t>
      </w:r>
    </w:p>
    <w:p w:rsidR="00B2793A" w:rsidRPr="00B2793A" w:rsidRDefault="00B2793A" w:rsidP="00B2793A">
      <w:pPr>
        <w:pStyle w:val="ListParagraph"/>
        <w:numPr>
          <w:ilvl w:val="0"/>
          <w:numId w:val="18"/>
        </w:numPr>
        <w:jc w:val="both"/>
        <w:rPr>
          <w:bCs/>
        </w:rPr>
      </w:pPr>
      <w:r w:rsidRPr="00B2793A">
        <w:rPr>
          <w:bCs/>
        </w:rPr>
        <w:t>Discussions and hands on exercise on the table format for reporting “mitigation actions” and “support” based on the CGE t</w:t>
      </w:r>
      <w:r>
        <w:rPr>
          <w:bCs/>
        </w:rPr>
        <w:t>raining materials.</w:t>
      </w:r>
    </w:p>
    <w:p w:rsidR="00B2793A" w:rsidRPr="00B2793A" w:rsidRDefault="00B2793A" w:rsidP="00B2793A">
      <w:pPr>
        <w:pStyle w:val="ListParagraph"/>
        <w:numPr>
          <w:ilvl w:val="0"/>
          <w:numId w:val="18"/>
        </w:numPr>
        <w:jc w:val="both"/>
        <w:rPr>
          <w:bCs/>
        </w:rPr>
      </w:pPr>
      <w:r w:rsidRPr="00B2793A">
        <w:rPr>
          <w:bCs/>
        </w:rPr>
        <w:t>Completed GHG data improvement strategy template for the five inventory sectors</w:t>
      </w:r>
      <w:r>
        <w:rPr>
          <w:bCs/>
        </w:rPr>
        <w:t xml:space="preserve">. </w:t>
      </w:r>
    </w:p>
    <w:p w:rsidR="00F3677D" w:rsidRPr="00B2793A" w:rsidRDefault="00F3677D" w:rsidP="00B2793A">
      <w:pPr>
        <w:spacing w:after="0" w:line="240" w:lineRule="auto"/>
        <w:ind w:firstLine="255"/>
        <w:jc w:val="both"/>
        <w:rPr>
          <w:rFonts w:cs="Calibri"/>
          <w:bCs/>
        </w:rPr>
      </w:pPr>
    </w:p>
    <w:p w:rsidR="009D6EA4" w:rsidRPr="00B2793A" w:rsidRDefault="009D6EA4" w:rsidP="009D6EA4">
      <w:pPr>
        <w:spacing w:after="0" w:line="240" w:lineRule="auto"/>
        <w:jc w:val="both"/>
        <w:rPr>
          <w:rFonts w:cs="Calibri"/>
          <w:bCs/>
        </w:rPr>
      </w:pPr>
    </w:p>
    <w:p w:rsidR="009D6EA4" w:rsidRPr="00B2793A" w:rsidRDefault="009D6EA4" w:rsidP="009D6EA4">
      <w:pPr>
        <w:keepNext/>
        <w:spacing w:after="0" w:line="240" w:lineRule="auto"/>
        <w:jc w:val="both"/>
        <w:rPr>
          <w:rFonts w:cs="Calibri"/>
          <w:b/>
          <w:lang w:val="en-GB"/>
        </w:rPr>
      </w:pPr>
      <w:r w:rsidRPr="00B2793A">
        <w:rPr>
          <w:rFonts w:cstheme="minorHAnsi"/>
          <w:b/>
        </w:rPr>
        <w:t>Additional</w:t>
      </w:r>
      <w:r w:rsidRPr="00B2793A">
        <w:rPr>
          <w:rFonts w:cs="Calibri"/>
          <w:b/>
          <w:lang w:val="en-GB"/>
        </w:rPr>
        <w:t xml:space="preserve"> notes:</w:t>
      </w:r>
    </w:p>
    <w:p w:rsidR="009D6EA4" w:rsidRPr="00B2793A" w:rsidRDefault="009D6EA4" w:rsidP="009D6EA4">
      <w:pPr>
        <w:pStyle w:val="ListParagraph"/>
        <w:numPr>
          <w:ilvl w:val="0"/>
          <w:numId w:val="4"/>
        </w:numPr>
        <w:jc w:val="both"/>
        <w:rPr>
          <w:rFonts w:asciiTheme="minorHAnsi" w:hAnsiTheme="minorHAnsi"/>
          <w:lang w:val="en-GB"/>
        </w:rPr>
      </w:pPr>
      <w:r w:rsidRPr="00B2793A">
        <w:rPr>
          <w:rFonts w:asciiTheme="minorHAnsi" w:hAnsiTheme="minorHAnsi"/>
          <w:lang w:val="en-GB"/>
        </w:rPr>
        <w:t>Two representatives from the EPA and the Ministry of Finance participated in the LECB Annual Global Meeting held in Vietnam on 25-27 September where they presented on opportunities to scale up private sector engagement in climate change mitigation, in particular through the use of the NAMA Investor Guide.</w:t>
      </w:r>
    </w:p>
    <w:p w:rsidR="00184613" w:rsidRPr="00B2793A" w:rsidRDefault="00184613" w:rsidP="009D6EA4">
      <w:pPr>
        <w:spacing w:after="0" w:line="240" w:lineRule="auto"/>
        <w:jc w:val="both"/>
        <w:rPr>
          <w:rFonts w:cs="Calibri"/>
          <w:lang w:val="en-GB"/>
        </w:rPr>
      </w:pPr>
    </w:p>
    <w:p w:rsidR="009D6EA4" w:rsidRPr="00B2793A" w:rsidRDefault="009D6EA4" w:rsidP="009D6EA4">
      <w:pPr>
        <w:spacing w:after="0" w:line="240" w:lineRule="auto"/>
        <w:jc w:val="both"/>
        <w:rPr>
          <w:rFonts w:cs="Calibri"/>
          <w:lang w:val="en-GB"/>
        </w:rPr>
      </w:pPr>
    </w:p>
    <w:p w:rsidR="009D6EA4" w:rsidRPr="00B2793A" w:rsidRDefault="009D6EA4" w:rsidP="009D6EA4">
      <w:pPr>
        <w:spacing w:after="0" w:line="240" w:lineRule="auto"/>
        <w:jc w:val="both"/>
        <w:rPr>
          <w:rFonts w:cs="Calibri"/>
          <w:lang w:val="en-GB"/>
        </w:rPr>
      </w:pPr>
    </w:p>
    <w:tbl>
      <w:tblPr>
        <w:tblW w:w="0" w:type="auto"/>
        <w:jc w:val="center"/>
        <w:tblInd w:w="-749" w:type="dxa"/>
        <w:tblLook w:val="04A0" w:firstRow="1" w:lastRow="0" w:firstColumn="1" w:lastColumn="0" w:noHBand="0" w:noVBand="1"/>
      </w:tblPr>
      <w:tblGrid>
        <w:gridCol w:w="3380"/>
        <w:gridCol w:w="2525"/>
        <w:gridCol w:w="3171"/>
      </w:tblGrid>
      <w:tr w:rsidR="00B2793A" w:rsidRPr="00B2793A" w:rsidTr="00B44186">
        <w:trPr>
          <w:jc w:val="center"/>
        </w:trPr>
        <w:tc>
          <w:tcPr>
            <w:tcW w:w="3380" w:type="dxa"/>
          </w:tcPr>
          <w:p w:rsidR="00184613" w:rsidRPr="00B2793A" w:rsidRDefault="00184613" w:rsidP="00B44186">
            <w:pPr>
              <w:pStyle w:val="Footer"/>
              <w:tabs>
                <w:tab w:val="left" w:pos="1620"/>
                <w:tab w:val="right" w:pos="6120"/>
                <w:tab w:val="left" w:pos="6570"/>
                <w:tab w:val="left" w:pos="10080"/>
                <w:tab w:val="left" w:pos="10800"/>
                <w:tab w:val="left" w:pos="11520"/>
                <w:tab w:val="left" w:pos="12240"/>
                <w:tab w:val="right" w:pos="12960"/>
              </w:tabs>
            </w:pPr>
            <w:r w:rsidRPr="00B2793A">
              <w:rPr>
                <w:noProof/>
              </w:rPr>
              <w:drawing>
                <wp:inline distT="0" distB="0" distL="0" distR="0" wp14:anchorId="301C1A83" wp14:editId="4131E3D7">
                  <wp:extent cx="1516380" cy="541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541020"/>
                          </a:xfrm>
                          <a:prstGeom prst="rect">
                            <a:avLst/>
                          </a:prstGeom>
                          <a:noFill/>
                          <a:ln>
                            <a:noFill/>
                          </a:ln>
                        </pic:spPr>
                      </pic:pic>
                    </a:graphicData>
                  </a:graphic>
                </wp:inline>
              </w:drawing>
            </w:r>
          </w:p>
        </w:tc>
        <w:tc>
          <w:tcPr>
            <w:tcW w:w="2525" w:type="dxa"/>
          </w:tcPr>
          <w:p w:rsidR="00184613" w:rsidRPr="00B2793A" w:rsidRDefault="00184613" w:rsidP="00B44186">
            <w:pPr>
              <w:pStyle w:val="Footer"/>
              <w:tabs>
                <w:tab w:val="left" w:pos="1620"/>
                <w:tab w:val="right" w:pos="6120"/>
                <w:tab w:val="left" w:pos="6570"/>
                <w:tab w:val="left" w:pos="10080"/>
                <w:tab w:val="left" w:pos="10800"/>
                <w:tab w:val="left" w:pos="11520"/>
                <w:tab w:val="left" w:pos="12240"/>
                <w:tab w:val="right" w:pos="12960"/>
              </w:tabs>
              <w:jc w:val="center"/>
            </w:pPr>
            <w:r w:rsidRPr="00B2793A">
              <w:rPr>
                <w:noProof/>
              </w:rPr>
              <w:drawing>
                <wp:inline distT="0" distB="0" distL="0" distR="0" wp14:anchorId="5126B4CB" wp14:editId="54F2B845">
                  <wp:extent cx="708660" cy="502920"/>
                  <wp:effectExtent l="0" t="0" r="0" b="0"/>
                  <wp:docPr id="3" name="Picture 3" descr="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fficher l'image en taille rée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502920"/>
                          </a:xfrm>
                          <a:prstGeom prst="rect">
                            <a:avLst/>
                          </a:prstGeom>
                          <a:noFill/>
                          <a:ln>
                            <a:noFill/>
                          </a:ln>
                        </pic:spPr>
                      </pic:pic>
                    </a:graphicData>
                  </a:graphic>
                </wp:inline>
              </w:drawing>
            </w:r>
          </w:p>
        </w:tc>
        <w:tc>
          <w:tcPr>
            <w:tcW w:w="3171" w:type="dxa"/>
          </w:tcPr>
          <w:p w:rsidR="00184613" w:rsidRPr="00B2793A" w:rsidRDefault="00184613" w:rsidP="00B44186">
            <w:pPr>
              <w:pStyle w:val="Footer"/>
              <w:tabs>
                <w:tab w:val="left" w:pos="1620"/>
                <w:tab w:val="right" w:pos="6120"/>
                <w:tab w:val="left" w:pos="6570"/>
                <w:tab w:val="left" w:pos="10080"/>
                <w:tab w:val="left" w:pos="10800"/>
                <w:tab w:val="left" w:pos="11520"/>
                <w:tab w:val="left" w:pos="12240"/>
                <w:tab w:val="right" w:pos="12960"/>
              </w:tabs>
              <w:jc w:val="right"/>
            </w:pPr>
            <w:r w:rsidRPr="00B2793A">
              <w:rPr>
                <w:noProof/>
              </w:rPr>
              <w:drawing>
                <wp:inline distT="0" distB="0" distL="0" distR="0" wp14:anchorId="68772358" wp14:editId="3D93E05A">
                  <wp:extent cx="1577340" cy="510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340" cy="510540"/>
                          </a:xfrm>
                          <a:prstGeom prst="rect">
                            <a:avLst/>
                          </a:prstGeom>
                          <a:noFill/>
                          <a:ln>
                            <a:noFill/>
                          </a:ln>
                        </pic:spPr>
                      </pic:pic>
                    </a:graphicData>
                  </a:graphic>
                </wp:inline>
              </w:drawing>
            </w:r>
          </w:p>
        </w:tc>
      </w:tr>
    </w:tbl>
    <w:p w:rsidR="00B2793A" w:rsidRPr="00B2793A" w:rsidRDefault="00B2793A" w:rsidP="009D6EA4">
      <w:pPr>
        <w:spacing w:after="0" w:line="20" w:lineRule="exact"/>
        <w:jc w:val="both"/>
        <w:rPr>
          <w:rFonts w:cs="Calibri"/>
          <w:lang w:val="en-GB"/>
        </w:rPr>
      </w:pPr>
    </w:p>
    <w:p w:rsidR="00B2793A" w:rsidRPr="00B2793A" w:rsidRDefault="00B2793A" w:rsidP="00B2793A">
      <w:pPr>
        <w:rPr>
          <w:rFonts w:cs="Calibri"/>
          <w:lang w:val="en-GB"/>
        </w:rPr>
      </w:pPr>
    </w:p>
    <w:p w:rsidR="00B2793A" w:rsidRPr="00B2793A" w:rsidRDefault="00B2793A">
      <w:pPr>
        <w:rPr>
          <w:rFonts w:cs="Calibri"/>
          <w:lang w:val="en-GB"/>
        </w:rPr>
      </w:pPr>
      <w:r w:rsidRPr="00B2793A">
        <w:rPr>
          <w:rFonts w:cs="Calibri"/>
          <w:lang w:val="en-GB"/>
        </w:rPr>
        <w:br w:type="page"/>
      </w:r>
    </w:p>
    <w:p w:rsidR="00B2793A" w:rsidRPr="00B2793A" w:rsidRDefault="00B2793A" w:rsidP="00B2793A">
      <w:pPr>
        <w:pStyle w:val="NoSpacing"/>
        <w:jc w:val="center"/>
        <w:rPr>
          <w:rFonts w:cs="Calibri"/>
          <w:b/>
          <w:lang w:val="en-GB"/>
        </w:rPr>
      </w:pPr>
      <w:r w:rsidRPr="00B2793A">
        <w:rPr>
          <w:rFonts w:cs="Calibri"/>
          <w:b/>
          <w:lang w:val="en-GB"/>
        </w:rPr>
        <w:lastRenderedPageBreak/>
        <w:t xml:space="preserve">Annex 1 : Summary report on the </w:t>
      </w:r>
      <w:r w:rsidRPr="00B2793A">
        <w:rPr>
          <w:rFonts w:cs="Calibri"/>
          <w:b/>
          <w:lang w:val="en-GB"/>
        </w:rPr>
        <w:t>Informal Consultation Meeting on the Preparation of Energy-related</w:t>
      </w:r>
    </w:p>
    <w:p w:rsidR="00184613" w:rsidRPr="00B2793A" w:rsidRDefault="00B2793A" w:rsidP="00B2793A">
      <w:pPr>
        <w:pStyle w:val="NoSpacing"/>
        <w:rPr>
          <w:rFonts w:cs="Calibri"/>
          <w:b/>
          <w:lang w:val="en-GB"/>
        </w:rPr>
      </w:pPr>
      <w:r w:rsidRPr="00B2793A">
        <w:rPr>
          <w:rFonts w:cs="Calibri"/>
          <w:b/>
          <w:lang w:val="en-GB"/>
        </w:rPr>
        <w:t>NAMAs under the LECB Project</w:t>
      </w:r>
    </w:p>
    <w:p w:rsidR="00B2793A" w:rsidRPr="00B2793A" w:rsidRDefault="00B2793A" w:rsidP="00B2793A">
      <w:pPr>
        <w:pStyle w:val="NoSpacing"/>
        <w:rPr>
          <w:rFonts w:cs="Calibri"/>
          <w:lang w:val="en-GB"/>
        </w:rPr>
      </w:pPr>
    </w:p>
    <w:tbl>
      <w:tblPr>
        <w:tblStyle w:val="TableGrid"/>
        <w:tblW w:w="9810" w:type="dxa"/>
        <w:tblInd w:w="108" w:type="dxa"/>
        <w:tblLook w:val="04A0" w:firstRow="1" w:lastRow="0" w:firstColumn="1" w:lastColumn="0" w:noHBand="0" w:noVBand="1"/>
      </w:tblPr>
      <w:tblGrid>
        <w:gridCol w:w="9810"/>
      </w:tblGrid>
      <w:tr w:rsidR="00B2793A" w:rsidRPr="00B2793A" w:rsidTr="00B2793A">
        <w:tc>
          <w:tcPr>
            <w:tcW w:w="9810" w:type="dxa"/>
          </w:tcPr>
          <w:p w:rsidR="00B2793A" w:rsidRPr="00B2793A" w:rsidRDefault="00B2793A" w:rsidP="00B2793A">
            <w:pPr>
              <w:jc w:val="both"/>
              <w:rPr>
                <w:rFonts w:cs="Calibri"/>
                <w:bCs/>
              </w:rPr>
            </w:pPr>
            <w:r w:rsidRPr="00B2793A">
              <w:rPr>
                <w:rFonts w:cs="Calibri"/>
                <w:bCs/>
              </w:rPr>
              <w:t>Date – 26th November, 2013</w:t>
            </w:r>
          </w:p>
          <w:p w:rsidR="00B2793A" w:rsidRPr="00B2793A" w:rsidRDefault="00B2793A" w:rsidP="00B2793A">
            <w:pPr>
              <w:jc w:val="both"/>
              <w:rPr>
                <w:rFonts w:cs="Calibri"/>
                <w:bCs/>
              </w:rPr>
            </w:pPr>
          </w:p>
          <w:p w:rsidR="00B2793A" w:rsidRPr="00B2793A" w:rsidRDefault="00B2793A" w:rsidP="00B2793A">
            <w:pPr>
              <w:jc w:val="both"/>
              <w:rPr>
                <w:rFonts w:cs="Calibri"/>
                <w:bCs/>
              </w:rPr>
            </w:pPr>
            <w:r w:rsidRPr="00B2793A">
              <w:rPr>
                <w:rFonts w:cs="Calibri"/>
                <w:bCs/>
              </w:rPr>
              <w:t>Location – Conference Room, Energy Commission</w:t>
            </w:r>
          </w:p>
          <w:p w:rsidR="00B2793A" w:rsidRPr="00B2793A" w:rsidRDefault="00B2793A" w:rsidP="00B2793A">
            <w:pPr>
              <w:jc w:val="both"/>
              <w:rPr>
                <w:rFonts w:cs="Calibri"/>
                <w:bCs/>
              </w:rPr>
            </w:pPr>
          </w:p>
          <w:p w:rsidR="00B2793A" w:rsidRPr="00B2793A" w:rsidRDefault="00B2793A" w:rsidP="00B2793A">
            <w:pPr>
              <w:jc w:val="both"/>
              <w:rPr>
                <w:rFonts w:cs="Calibri"/>
                <w:bCs/>
              </w:rPr>
            </w:pPr>
            <w:r w:rsidRPr="00B2793A">
              <w:rPr>
                <w:rFonts w:cs="Calibri"/>
                <w:bCs/>
              </w:rPr>
              <w:t xml:space="preserve">Participants </w:t>
            </w:r>
          </w:p>
          <w:p w:rsidR="00B2793A" w:rsidRPr="00B2793A" w:rsidRDefault="00B2793A" w:rsidP="00B2793A">
            <w:pPr>
              <w:jc w:val="both"/>
              <w:rPr>
                <w:rFonts w:cs="Calibri"/>
                <w:bCs/>
              </w:rPr>
            </w:pPr>
            <w:r w:rsidRPr="00B2793A">
              <w:rPr>
                <w:rFonts w:cs="Calibri"/>
                <w:bCs/>
              </w:rPr>
              <w:t xml:space="preserve">Mr. Kofi Agyarko </w:t>
            </w:r>
            <w:r w:rsidRPr="00B2793A">
              <w:rPr>
                <w:rFonts w:cs="Calibri"/>
                <w:bCs/>
              </w:rPr>
              <w:tab/>
            </w:r>
            <w:r w:rsidRPr="00B2793A">
              <w:rPr>
                <w:rFonts w:cs="Calibri"/>
                <w:bCs/>
              </w:rPr>
              <w:tab/>
              <w:t xml:space="preserve">Head, Energy Efficiency, Energy Commission </w:t>
            </w:r>
          </w:p>
          <w:p w:rsidR="00B2793A" w:rsidRPr="00B2793A" w:rsidRDefault="00B2793A" w:rsidP="00B2793A">
            <w:pPr>
              <w:jc w:val="both"/>
              <w:rPr>
                <w:rFonts w:cs="Calibri"/>
                <w:bCs/>
              </w:rPr>
            </w:pPr>
            <w:r w:rsidRPr="00B2793A">
              <w:rPr>
                <w:rFonts w:cs="Calibri"/>
                <w:bCs/>
              </w:rPr>
              <w:t xml:space="preserve">Mr.  Otu Danquah </w:t>
            </w:r>
            <w:r w:rsidRPr="00B2793A">
              <w:rPr>
                <w:rFonts w:cs="Calibri"/>
                <w:bCs/>
              </w:rPr>
              <w:tab/>
            </w:r>
            <w:r w:rsidRPr="00B2793A">
              <w:rPr>
                <w:rFonts w:cs="Calibri"/>
                <w:bCs/>
              </w:rPr>
              <w:tab/>
              <w:t>Head, Renewable Energy, Energy Commission</w:t>
            </w:r>
          </w:p>
          <w:p w:rsidR="00B2793A" w:rsidRPr="00B2793A" w:rsidRDefault="00B2793A" w:rsidP="00B2793A">
            <w:pPr>
              <w:jc w:val="both"/>
              <w:rPr>
                <w:rFonts w:cs="Calibri"/>
                <w:bCs/>
              </w:rPr>
            </w:pPr>
            <w:r w:rsidRPr="00B2793A">
              <w:rPr>
                <w:rFonts w:cs="Calibri"/>
                <w:bCs/>
              </w:rPr>
              <w:t>Dr. Idun</w:t>
            </w:r>
            <w:r w:rsidRPr="00B2793A">
              <w:rPr>
                <w:rFonts w:cs="Calibri"/>
                <w:bCs/>
              </w:rPr>
              <w:tab/>
            </w:r>
            <w:r w:rsidRPr="00B2793A">
              <w:rPr>
                <w:rFonts w:cs="Calibri"/>
                <w:bCs/>
              </w:rPr>
              <w:tab/>
            </w:r>
            <w:r w:rsidRPr="00B2793A">
              <w:rPr>
                <w:rFonts w:cs="Calibri"/>
                <w:bCs/>
              </w:rPr>
              <w:tab/>
            </w:r>
            <w:r w:rsidRPr="00B2793A">
              <w:rPr>
                <w:rFonts w:cs="Calibri"/>
                <w:bCs/>
              </w:rPr>
              <w:tab/>
              <w:t>Biogas Technologies Expert</w:t>
            </w:r>
          </w:p>
          <w:p w:rsidR="00B2793A" w:rsidRPr="00B2793A" w:rsidRDefault="00B2793A" w:rsidP="00B2793A">
            <w:pPr>
              <w:jc w:val="both"/>
              <w:rPr>
                <w:rFonts w:cs="Calibri"/>
                <w:bCs/>
              </w:rPr>
            </w:pPr>
            <w:r w:rsidRPr="00B2793A">
              <w:rPr>
                <w:rFonts w:cs="Calibri"/>
                <w:bCs/>
              </w:rPr>
              <w:t>Mr. Fred Kenneth Appiah</w:t>
            </w:r>
            <w:r w:rsidRPr="00B2793A">
              <w:rPr>
                <w:rFonts w:cs="Calibri"/>
                <w:bCs/>
              </w:rPr>
              <w:tab/>
            </w:r>
            <w:r w:rsidRPr="00B2793A">
              <w:rPr>
                <w:rFonts w:cs="Calibri"/>
                <w:bCs/>
              </w:rPr>
              <w:t>Energy Commission</w:t>
            </w:r>
          </w:p>
          <w:p w:rsidR="00B2793A" w:rsidRPr="00B2793A" w:rsidRDefault="00B2793A" w:rsidP="00B2793A">
            <w:pPr>
              <w:jc w:val="both"/>
              <w:rPr>
                <w:rFonts w:cs="Calibri"/>
                <w:bCs/>
              </w:rPr>
            </w:pPr>
            <w:r w:rsidRPr="00B2793A">
              <w:rPr>
                <w:rFonts w:cs="Calibri"/>
                <w:bCs/>
              </w:rPr>
              <w:t>Ms. Paula Edze</w:t>
            </w:r>
            <w:r w:rsidRPr="00B2793A">
              <w:rPr>
                <w:rFonts w:cs="Calibri"/>
                <w:bCs/>
              </w:rPr>
              <w:tab/>
            </w:r>
            <w:r w:rsidRPr="00B2793A">
              <w:rPr>
                <w:rFonts w:cs="Calibri"/>
                <w:bCs/>
              </w:rPr>
              <w:tab/>
            </w:r>
            <w:r w:rsidRPr="00B2793A">
              <w:rPr>
                <w:rFonts w:cs="Calibri"/>
                <w:bCs/>
              </w:rPr>
              <w:tab/>
              <w:t xml:space="preserve">Coordinator, SEA4ALL Secretariat, Energy Commission </w:t>
            </w:r>
          </w:p>
          <w:p w:rsidR="00B2793A" w:rsidRPr="00B2793A" w:rsidRDefault="00B2793A" w:rsidP="00B2793A">
            <w:pPr>
              <w:jc w:val="both"/>
              <w:rPr>
                <w:rFonts w:cs="Calibri"/>
                <w:bCs/>
              </w:rPr>
            </w:pPr>
            <w:r w:rsidRPr="00B2793A">
              <w:rPr>
                <w:rFonts w:cs="Calibri"/>
                <w:bCs/>
              </w:rPr>
              <w:t>Mr. Kennedy Amankwa</w:t>
            </w:r>
            <w:r w:rsidRPr="00B2793A">
              <w:rPr>
                <w:rFonts w:cs="Calibri"/>
                <w:bCs/>
              </w:rPr>
              <w:tab/>
            </w:r>
            <w:r w:rsidRPr="00B2793A">
              <w:rPr>
                <w:rFonts w:cs="Calibri"/>
                <w:bCs/>
              </w:rPr>
              <w:tab/>
              <w:t xml:space="preserve">Energy Commission </w:t>
            </w:r>
          </w:p>
          <w:p w:rsidR="00B2793A" w:rsidRPr="00B2793A" w:rsidRDefault="00B2793A" w:rsidP="00B2793A">
            <w:pPr>
              <w:jc w:val="both"/>
              <w:rPr>
                <w:rFonts w:cs="Calibri"/>
                <w:bCs/>
              </w:rPr>
            </w:pPr>
            <w:r w:rsidRPr="00B2793A">
              <w:rPr>
                <w:rFonts w:cs="Calibri"/>
                <w:bCs/>
              </w:rPr>
              <w:t xml:space="preserve">Mr. Peter Dery </w:t>
            </w:r>
            <w:r w:rsidRPr="00B2793A">
              <w:rPr>
                <w:rFonts w:cs="Calibri"/>
                <w:bCs/>
              </w:rPr>
              <w:tab/>
            </w:r>
            <w:r w:rsidRPr="00B2793A">
              <w:rPr>
                <w:rFonts w:cs="Calibri"/>
                <w:bCs/>
              </w:rPr>
              <w:tab/>
            </w:r>
            <w:r w:rsidRPr="00B2793A">
              <w:rPr>
                <w:rFonts w:cs="Calibri"/>
                <w:bCs/>
              </w:rPr>
              <w:tab/>
            </w:r>
            <w:r w:rsidRPr="00B2793A">
              <w:rPr>
                <w:rFonts w:cs="Calibri"/>
                <w:bCs/>
              </w:rPr>
              <w:t>Ministry of Environment</w:t>
            </w:r>
          </w:p>
          <w:p w:rsidR="00B2793A" w:rsidRPr="00B2793A" w:rsidRDefault="00B2793A" w:rsidP="00B2793A">
            <w:pPr>
              <w:jc w:val="both"/>
              <w:rPr>
                <w:rFonts w:cs="Calibri"/>
                <w:bCs/>
              </w:rPr>
            </w:pPr>
            <w:r w:rsidRPr="00B2793A">
              <w:rPr>
                <w:rFonts w:cs="Calibri"/>
                <w:bCs/>
              </w:rPr>
              <w:t>Ing. Anthony Esiape</w:t>
            </w:r>
            <w:r w:rsidRPr="00B2793A">
              <w:rPr>
                <w:rFonts w:cs="Calibri"/>
                <w:bCs/>
              </w:rPr>
              <w:tab/>
            </w:r>
            <w:r w:rsidRPr="00B2793A">
              <w:rPr>
                <w:rFonts w:cs="Calibri"/>
                <w:bCs/>
              </w:rPr>
              <w:tab/>
            </w:r>
            <w:r w:rsidRPr="00B2793A">
              <w:rPr>
                <w:rFonts w:cs="Calibri"/>
                <w:bCs/>
              </w:rPr>
              <w:t>Electricity Company of Ghana</w:t>
            </w:r>
          </w:p>
          <w:p w:rsidR="00B2793A" w:rsidRPr="00B2793A" w:rsidRDefault="00B2793A" w:rsidP="00B2793A">
            <w:pPr>
              <w:jc w:val="both"/>
              <w:rPr>
                <w:rFonts w:cs="Calibri"/>
                <w:bCs/>
              </w:rPr>
            </w:pPr>
            <w:r w:rsidRPr="00B2793A">
              <w:rPr>
                <w:rFonts w:cs="Calibri"/>
                <w:bCs/>
              </w:rPr>
              <w:t>Daniel Benefor</w:t>
            </w:r>
            <w:r w:rsidRPr="00B2793A">
              <w:rPr>
                <w:rFonts w:cs="Calibri"/>
                <w:bCs/>
              </w:rPr>
              <w:tab/>
            </w:r>
            <w:r w:rsidRPr="00B2793A">
              <w:rPr>
                <w:rFonts w:cs="Calibri"/>
                <w:bCs/>
              </w:rPr>
              <w:tab/>
            </w:r>
            <w:r w:rsidRPr="00B2793A">
              <w:rPr>
                <w:rFonts w:cs="Calibri"/>
                <w:bCs/>
              </w:rPr>
              <w:tab/>
            </w:r>
            <w:r w:rsidRPr="00B2793A">
              <w:rPr>
                <w:rFonts w:cs="Calibri"/>
                <w:bCs/>
              </w:rPr>
              <w:t>Environmental Protection Agency</w:t>
            </w:r>
          </w:p>
          <w:p w:rsidR="00B2793A" w:rsidRPr="00B2793A" w:rsidRDefault="00B2793A" w:rsidP="00B2793A">
            <w:pPr>
              <w:pStyle w:val="NoSpacing"/>
              <w:pBdr>
                <w:bottom w:val="single" w:sz="4" w:space="1" w:color="auto"/>
              </w:pBdr>
              <w:rPr>
                <w:b/>
                <w:sz w:val="20"/>
                <w:szCs w:val="20"/>
              </w:rPr>
            </w:pPr>
          </w:p>
          <w:p w:rsidR="00B2793A" w:rsidRPr="00B2793A" w:rsidRDefault="00B2793A" w:rsidP="00B2793A">
            <w:pPr>
              <w:pStyle w:val="NoSpacing"/>
              <w:rPr>
                <w:b/>
                <w:sz w:val="20"/>
                <w:szCs w:val="20"/>
              </w:rPr>
            </w:pPr>
          </w:p>
          <w:p w:rsidR="00B2793A" w:rsidRPr="00B2793A" w:rsidRDefault="00B2793A" w:rsidP="00B2793A">
            <w:pPr>
              <w:pStyle w:val="NoSpacing"/>
              <w:rPr>
                <w:b/>
              </w:rPr>
            </w:pPr>
            <w:r w:rsidRPr="00B2793A">
              <w:rPr>
                <w:b/>
              </w:rPr>
              <w:t xml:space="preserve">Purpose of meeting </w:t>
            </w:r>
          </w:p>
          <w:p w:rsidR="00B2793A" w:rsidRPr="00B2793A" w:rsidRDefault="00B2793A" w:rsidP="00B2793A">
            <w:pPr>
              <w:pStyle w:val="NoSpacing"/>
              <w:numPr>
                <w:ilvl w:val="0"/>
                <w:numId w:val="10"/>
              </w:numPr>
            </w:pPr>
            <w:r w:rsidRPr="00B2793A">
              <w:t>Informal consultation on the selection of energy related NAMAs</w:t>
            </w:r>
          </w:p>
          <w:p w:rsidR="00B2793A" w:rsidRPr="00B2793A" w:rsidRDefault="00B2793A" w:rsidP="00B2793A">
            <w:pPr>
              <w:pStyle w:val="NoSpacing"/>
              <w:numPr>
                <w:ilvl w:val="0"/>
                <w:numId w:val="10"/>
              </w:numPr>
            </w:pPr>
            <w:r w:rsidRPr="00B2793A">
              <w:t>Finalise the detail workplan of the NAMAs investor guide</w:t>
            </w:r>
          </w:p>
          <w:p w:rsidR="00B2793A" w:rsidRPr="00B2793A" w:rsidRDefault="00B2793A" w:rsidP="00B2793A">
            <w:pPr>
              <w:pStyle w:val="NoSpacing"/>
              <w:numPr>
                <w:ilvl w:val="0"/>
                <w:numId w:val="10"/>
              </w:numPr>
            </w:pPr>
            <w:r w:rsidRPr="00B2793A">
              <w:t xml:space="preserve">Discuss the term of reference of the working group </w:t>
            </w:r>
          </w:p>
          <w:p w:rsidR="00B2793A" w:rsidRPr="00B2793A" w:rsidRDefault="00B2793A" w:rsidP="00B2793A">
            <w:pPr>
              <w:pStyle w:val="NoSpacing"/>
            </w:pPr>
          </w:p>
          <w:p w:rsidR="00B2793A" w:rsidRPr="00B2793A" w:rsidRDefault="00B2793A" w:rsidP="00B2793A">
            <w:pPr>
              <w:pStyle w:val="NoSpacing"/>
              <w:rPr>
                <w:b/>
              </w:rPr>
            </w:pPr>
            <w:r w:rsidRPr="00B2793A">
              <w:rPr>
                <w:b/>
              </w:rPr>
              <w:t>Informal consultation on the selection of energy related NAMAs</w:t>
            </w:r>
          </w:p>
          <w:p w:rsidR="00B2793A" w:rsidRPr="00B2793A" w:rsidRDefault="00B2793A" w:rsidP="00B2793A">
            <w:pPr>
              <w:pStyle w:val="NoSpacing"/>
            </w:pPr>
            <w:r w:rsidRPr="00B2793A">
              <w:t>Based on agreed on set of criteria and national documentation, the group made a list of 13 possible energy NAMAs and further prune down to five (5). The detailed background information of the 5 will be prepared and used for further consultation and validation workshop. The initial list of possible NAMAs below:</w:t>
            </w:r>
          </w:p>
          <w:p w:rsidR="00B2793A" w:rsidRPr="00B2793A" w:rsidRDefault="00B2793A" w:rsidP="00B2793A">
            <w:pPr>
              <w:pStyle w:val="NoSpacing"/>
            </w:pPr>
          </w:p>
          <w:p w:rsidR="00B2793A" w:rsidRPr="00B2793A" w:rsidRDefault="00B2793A" w:rsidP="00B2793A">
            <w:pPr>
              <w:pStyle w:val="NoSpacing"/>
              <w:rPr>
                <w:b/>
              </w:rPr>
            </w:pPr>
            <w:r w:rsidRPr="00B2793A">
              <w:rPr>
                <w:b/>
              </w:rPr>
              <w:t xml:space="preserve">Renewable Energy </w:t>
            </w:r>
          </w:p>
          <w:p w:rsidR="00B2793A" w:rsidRPr="00B2793A" w:rsidRDefault="00B2793A" w:rsidP="00B2793A">
            <w:pPr>
              <w:pStyle w:val="NoSpacing"/>
              <w:numPr>
                <w:ilvl w:val="0"/>
                <w:numId w:val="11"/>
              </w:numPr>
              <w:rPr>
                <w:b/>
              </w:rPr>
            </w:pPr>
            <w:r w:rsidRPr="00B2793A">
              <w:rPr>
                <w:b/>
              </w:rPr>
              <w:t xml:space="preserve">Wood-fuel supply chain improvement programme  </w:t>
            </w:r>
          </w:p>
          <w:p w:rsidR="00B2793A" w:rsidRPr="00B2793A" w:rsidRDefault="00B2793A" w:rsidP="00B2793A">
            <w:pPr>
              <w:pStyle w:val="NoSpacing"/>
              <w:numPr>
                <w:ilvl w:val="1"/>
                <w:numId w:val="11"/>
              </w:numPr>
            </w:pPr>
            <w:r w:rsidRPr="00B2793A">
              <w:t>Contained in the 55-list of NAMAs and the 5 prioritized NAMAs</w:t>
            </w:r>
          </w:p>
          <w:p w:rsidR="00B2793A" w:rsidRPr="00B2793A" w:rsidRDefault="00B2793A" w:rsidP="00B2793A">
            <w:pPr>
              <w:pStyle w:val="NoSpacing"/>
              <w:numPr>
                <w:ilvl w:val="1"/>
                <w:numId w:val="11"/>
              </w:numPr>
            </w:pPr>
            <w:r w:rsidRPr="00B2793A">
              <w:t>Aligned with renewable energy act, the national energy policy</w:t>
            </w:r>
          </w:p>
          <w:p w:rsidR="00B2793A" w:rsidRPr="00B2793A" w:rsidRDefault="00B2793A" w:rsidP="00B2793A">
            <w:pPr>
              <w:pStyle w:val="NoSpacing"/>
              <w:numPr>
                <w:ilvl w:val="1"/>
                <w:numId w:val="11"/>
              </w:numPr>
            </w:pPr>
            <w:r w:rsidRPr="00B2793A">
              <w:t>Contained in the SEA4ALL Action plan</w:t>
            </w:r>
          </w:p>
          <w:p w:rsidR="00B2793A" w:rsidRPr="00B2793A" w:rsidRDefault="00B2793A" w:rsidP="00B2793A">
            <w:pPr>
              <w:pStyle w:val="NoSpacing"/>
              <w:numPr>
                <w:ilvl w:val="1"/>
                <w:numId w:val="11"/>
              </w:numPr>
            </w:pPr>
            <w:r w:rsidRPr="00B2793A">
              <w:t>Promotion of commercial or community-based woodlots</w:t>
            </w:r>
          </w:p>
          <w:p w:rsidR="00B2793A" w:rsidRPr="00B2793A" w:rsidRDefault="00B2793A" w:rsidP="00B2793A">
            <w:pPr>
              <w:pStyle w:val="NoSpacing"/>
              <w:numPr>
                <w:ilvl w:val="1"/>
                <w:numId w:val="11"/>
              </w:numPr>
            </w:pPr>
            <w:r w:rsidRPr="00B2793A">
              <w:t>Improve charcoal production (charcoal carbonization)</w:t>
            </w:r>
          </w:p>
          <w:p w:rsidR="00B2793A" w:rsidRPr="00B2793A" w:rsidRDefault="00B2793A" w:rsidP="00B2793A">
            <w:pPr>
              <w:pStyle w:val="NoSpacing"/>
              <w:numPr>
                <w:ilvl w:val="1"/>
                <w:numId w:val="11"/>
              </w:numPr>
            </w:pPr>
            <w:r w:rsidRPr="00B2793A">
              <w:t xml:space="preserve">60% of primary energy consumption particularly in rural cooking. </w:t>
            </w:r>
          </w:p>
          <w:p w:rsidR="00B2793A" w:rsidRPr="00B2793A" w:rsidRDefault="00B2793A" w:rsidP="00B2793A">
            <w:pPr>
              <w:pStyle w:val="NoSpacing"/>
              <w:numPr>
                <w:ilvl w:val="1"/>
                <w:numId w:val="11"/>
              </w:numPr>
            </w:pPr>
            <w:r w:rsidRPr="00B2793A">
              <w:t>Major source of GHG emissions, air pollution pollutants, source of health problems (Environmental benefits)</w:t>
            </w:r>
          </w:p>
          <w:p w:rsidR="00B2793A" w:rsidRPr="00B2793A" w:rsidRDefault="00B2793A" w:rsidP="00B2793A">
            <w:pPr>
              <w:pStyle w:val="NoSpacing"/>
              <w:numPr>
                <w:ilvl w:val="1"/>
                <w:numId w:val="11"/>
              </w:numPr>
            </w:pPr>
            <w:r w:rsidRPr="00B2793A">
              <w:t xml:space="preserve">Opportunity for export of charcoal and feedstock must come from sustainable source </w:t>
            </w:r>
          </w:p>
          <w:p w:rsidR="00B2793A" w:rsidRPr="00B2793A" w:rsidRDefault="00B2793A" w:rsidP="00B2793A">
            <w:pPr>
              <w:pStyle w:val="NoSpacing"/>
              <w:numPr>
                <w:ilvl w:val="1"/>
                <w:numId w:val="11"/>
              </w:numPr>
            </w:pPr>
            <w:r w:rsidRPr="00B2793A">
              <w:t>Value addition of wood product.</w:t>
            </w:r>
          </w:p>
          <w:p w:rsidR="00B2793A" w:rsidRPr="00B2793A" w:rsidRDefault="00B2793A" w:rsidP="00B2793A">
            <w:pPr>
              <w:pStyle w:val="NoSpacing"/>
              <w:numPr>
                <w:ilvl w:val="1"/>
                <w:numId w:val="11"/>
              </w:numPr>
            </w:pPr>
            <w:r w:rsidRPr="00B2793A">
              <w:t xml:space="preserve">Regulation (charcoal export – Energy commission, management tree stock – Forestry commission, transformation to charcoal – EPA). </w:t>
            </w:r>
          </w:p>
          <w:p w:rsidR="00B2793A" w:rsidRPr="00B2793A" w:rsidRDefault="00B2793A" w:rsidP="00B2793A">
            <w:pPr>
              <w:pStyle w:val="NoSpacing"/>
              <w:ind w:left="1440"/>
            </w:pPr>
          </w:p>
          <w:p w:rsidR="00B2793A" w:rsidRPr="00B2793A" w:rsidRDefault="00B2793A" w:rsidP="00B2793A">
            <w:pPr>
              <w:pStyle w:val="NoSpacing"/>
              <w:numPr>
                <w:ilvl w:val="0"/>
                <w:numId w:val="11"/>
              </w:numPr>
              <w:rPr>
                <w:b/>
              </w:rPr>
            </w:pPr>
            <w:r w:rsidRPr="00B2793A">
              <w:rPr>
                <w:b/>
                <w:bCs/>
              </w:rPr>
              <w:t>Establishment of market-based cleaner cooking solutions</w:t>
            </w:r>
          </w:p>
          <w:p w:rsidR="00B2793A" w:rsidRPr="00B2793A" w:rsidRDefault="00B2793A" w:rsidP="00B2793A">
            <w:pPr>
              <w:pStyle w:val="NoSpacing"/>
              <w:numPr>
                <w:ilvl w:val="1"/>
                <w:numId w:val="11"/>
              </w:numPr>
            </w:pPr>
            <w:r w:rsidRPr="00B2793A">
              <w:t>Aligned with renewable energy act, the national energy policy</w:t>
            </w:r>
          </w:p>
          <w:p w:rsidR="00B2793A" w:rsidRPr="00B2793A" w:rsidRDefault="00B2793A" w:rsidP="00B2793A">
            <w:pPr>
              <w:pStyle w:val="NoSpacing"/>
              <w:numPr>
                <w:ilvl w:val="1"/>
                <w:numId w:val="11"/>
              </w:numPr>
            </w:pPr>
            <w:r w:rsidRPr="00B2793A">
              <w:t>Contained in the SEA4ALL Action plan</w:t>
            </w:r>
          </w:p>
          <w:p w:rsidR="00B2793A" w:rsidRPr="00B2793A" w:rsidRDefault="00B2793A" w:rsidP="00B2793A">
            <w:pPr>
              <w:pStyle w:val="NoSpacing"/>
              <w:numPr>
                <w:ilvl w:val="1"/>
                <w:numId w:val="11"/>
              </w:numPr>
            </w:pPr>
            <w:r w:rsidRPr="00B2793A">
              <w:lastRenderedPageBreak/>
              <w:t>Promotion of downstream Improved cookstoves</w:t>
            </w:r>
          </w:p>
          <w:p w:rsidR="00B2793A" w:rsidRPr="00B2793A" w:rsidRDefault="00B2793A" w:rsidP="00B2793A">
            <w:pPr>
              <w:pStyle w:val="NoSpacing"/>
              <w:numPr>
                <w:ilvl w:val="1"/>
                <w:numId w:val="11"/>
              </w:numPr>
            </w:pPr>
            <w:r w:rsidRPr="00B2793A">
              <w:t xml:space="preserve">LPG stove promotion programme </w:t>
            </w:r>
          </w:p>
          <w:p w:rsidR="00B2793A" w:rsidRPr="00B2793A" w:rsidRDefault="00B2793A" w:rsidP="00B2793A">
            <w:pPr>
              <w:pStyle w:val="NoSpacing"/>
              <w:numPr>
                <w:ilvl w:val="1"/>
                <w:numId w:val="11"/>
              </w:numPr>
            </w:pPr>
            <w:r w:rsidRPr="00B2793A">
              <w:t>Standard and label for stoves</w:t>
            </w:r>
          </w:p>
          <w:p w:rsidR="00B2793A" w:rsidRPr="00B2793A" w:rsidRDefault="00B2793A" w:rsidP="00B2793A">
            <w:pPr>
              <w:pStyle w:val="NoSpacing"/>
              <w:numPr>
                <w:ilvl w:val="1"/>
                <w:numId w:val="11"/>
              </w:numPr>
            </w:pPr>
            <w:r w:rsidRPr="00B2793A">
              <w:t>Global clean cooking stove initiatives in Ghana</w:t>
            </w:r>
          </w:p>
          <w:p w:rsidR="00B2793A" w:rsidRPr="00B2793A" w:rsidRDefault="00B2793A" w:rsidP="00B2793A">
            <w:pPr>
              <w:pStyle w:val="NoSpacing"/>
              <w:numPr>
                <w:ilvl w:val="1"/>
                <w:numId w:val="11"/>
              </w:numPr>
            </w:pPr>
            <w:r w:rsidRPr="00B2793A">
              <w:t xml:space="preserve">Focus on entire supply spectrum of clean cooking solutions </w:t>
            </w:r>
          </w:p>
          <w:p w:rsidR="00B2793A" w:rsidRPr="00B2793A" w:rsidRDefault="00B2793A" w:rsidP="00B2793A">
            <w:pPr>
              <w:pStyle w:val="NoSpacing"/>
              <w:ind w:left="1080"/>
            </w:pPr>
            <w:r w:rsidRPr="00B2793A">
              <w:t xml:space="preserve"> </w:t>
            </w:r>
          </w:p>
          <w:p w:rsidR="00B2793A" w:rsidRPr="00B2793A" w:rsidRDefault="00B2793A" w:rsidP="00B2793A">
            <w:pPr>
              <w:pStyle w:val="NoSpacing"/>
              <w:numPr>
                <w:ilvl w:val="0"/>
                <w:numId w:val="11"/>
              </w:numPr>
              <w:rPr>
                <w:b/>
              </w:rPr>
            </w:pPr>
            <w:r w:rsidRPr="00B2793A">
              <w:rPr>
                <w:b/>
                <w:bCs/>
              </w:rPr>
              <w:t xml:space="preserve">Promotion SMEs Participation Biogas Technology Penetration in Institutions  </w:t>
            </w:r>
          </w:p>
          <w:p w:rsidR="00B2793A" w:rsidRPr="00B2793A" w:rsidRDefault="00B2793A" w:rsidP="00B2793A">
            <w:pPr>
              <w:pStyle w:val="NoSpacing"/>
              <w:numPr>
                <w:ilvl w:val="1"/>
                <w:numId w:val="11"/>
              </w:numPr>
            </w:pPr>
            <w:r w:rsidRPr="00B2793A">
              <w:t>Flagship of the SEA4ALL Action Plan</w:t>
            </w:r>
          </w:p>
          <w:p w:rsidR="00B2793A" w:rsidRPr="00B2793A" w:rsidRDefault="00B2793A" w:rsidP="00B2793A">
            <w:pPr>
              <w:pStyle w:val="NoSpacing"/>
              <w:numPr>
                <w:ilvl w:val="1"/>
                <w:numId w:val="11"/>
              </w:numPr>
            </w:pPr>
            <w:r w:rsidRPr="00B2793A">
              <w:t>Entire supply chain perspective</w:t>
            </w:r>
          </w:p>
          <w:p w:rsidR="00B2793A" w:rsidRPr="00B2793A" w:rsidRDefault="00B2793A" w:rsidP="00B2793A">
            <w:pPr>
              <w:pStyle w:val="NoSpacing"/>
              <w:numPr>
                <w:ilvl w:val="1"/>
                <w:numId w:val="11"/>
              </w:numPr>
            </w:pPr>
            <w:r w:rsidRPr="00B2793A">
              <w:t>Constructing over 200 institutional biogas technology - schools, hospitals.</w:t>
            </w:r>
          </w:p>
          <w:p w:rsidR="00B2793A" w:rsidRPr="00B2793A" w:rsidRDefault="00B2793A" w:rsidP="00B2793A">
            <w:pPr>
              <w:pStyle w:val="NoSpacing"/>
              <w:numPr>
                <w:ilvl w:val="1"/>
                <w:numId w:val="11"/>
              </w:numPr>
            </w:pPr>
            <w:r w:rsidRPr="00B2793A">
              <w:t>Potential for scaling up</w:t>
            </w:r>
          </w:p>
          <w:p w:rsidR="00B2793A" w:rsidRPr="00B2793A" w:rsidRDefault="00B2793A" w:rsidP="00B2793A">
            <w:pPr>
              <w:pStyle w:val="NoSpacing"/>
              <w:numPr>
                <w:ilvl w:val="1"/>
                <w:numId w:val="11"/>
              </w:numPr>
            </w:pPr>
            <w:r w:rsidRPr="00B2793A">
              <w:t>Aligned with renewable energy act, the national energy policy</w:t>
            </w:r>
          </w:p>
          <w:p w:rsidR="00B2793A" w:rsidRPr="00B2793A" w:rsidRDefault="00B2793A" w:rsidP="00B2793A">
            <w:pPr>
              <w:pStyle w:val="NoSpacing"/>
              <w:numPr>
                <w:ilvl w:val="1"/>
                <w:numId w:val="11"/>
              </w:numPr>
            </w:pPr>
            <w:r w:rsidRPr="00B2793A">
              <w:t xml:space="preserve">Reduce dependence on wood </w:t>
            </w:r>
          </w:p>
          <w:p w:rsidR="00B2793A" w:rsidRPr="00B2793A" w:rsidRDefault="00B2793A" w:rsidP="00B2793A">
            <w:pPr>
              <w:pStyle w:val="NoSpacing"/>
              <w:numPr>
                <w:ilvl w:val="1"/>
                <w:numId w:val="11"/>
              </w:numPr>
            </w:pPr>
            <w:r w:rsidRPr="00B2793A">
              <w:t xml:space="preserve">Cost reduction </w:t>
            </w:r>
          </w:p>
          <w:p w:rsidR="00B2793A" w:rsidRPr="00B2793A" w:rsidRDefault="00B2793A" w:rsidP="00B2793A">
            <w:pPr>
              <w:pStyle w:val="NoSpacing"/>
              <w:numPr>
                <w:ilvl w:val="1"/>
                <w:numId w:val="11"/>
              </w:numPr>
            </w:pPr>
            <w:r w:rsidRPr="00B2793A">
              <w:t>Improvement environmental sanitation (reduce cost of disposal)</w:t>
            </w:r>
          </w:p>
          <w:p w:rsidR="00B2793A" w:rsidRPr="00B2793A" w:rsidRDefault="00B2793A" w:rsidP="00B2793A">
            <w:pPr>
              <w:pStyle w:val="NoSpacing"/>
              <w:numPr>
                <w:ilvl w:val="1"/>
                <w:numId w:val="11"/>
              </w:numPr>
            </w:pPr>
            <w:r w:rsidRPr="00B2793A">
              <w:t xml:space="preserve">Local content </w:t>
            </w:r>
          </w:p>
          <w:p w:rsidR="00B2793A" w:rsidRPr="00B2793A" w:rsidRDefault="00B2793A" w:rsidP="00B2793A">
            <w:pPr>
              <w:pStyle w:val="NoSpacing"/>
              <w:numPr>
                <w:ilvl w:val="1"/>
                <w:numId w:val="11"/>
              </w:numPr>
            </w:pPr>
            <w:r w:rsidRPr="00B2793A">
              <w:t xml:space="preserve">Co-benefits (food security, water resource management) </w:t>
            </w:r>
          </w:p>
          <w:p w:rsidR="00B2793A" w:rsidRPr="00B2793A" w:rsidRDefault="00B2793A" w:rsidP="00B2793A">
            <w:pPr>
              <w:pStyle w:val="NoSpacing"/>
              <w:ind w:left="1440"/>
            </w:pPr>
          </w:p>
          <w:p w:rsidR="00B2793A" w:rsidRPr="00B2793A" w:rsidRDefault="00B2793A" w:rsidP="00B2793A">
            <w:pPr>
              <w:pStyle w:val="NoSpacing"/>
              <w:numPr>
                <w:ilvl w:val="0"/>
                <w:numId w:val="11"/>
              </w:numPr>
              <w:rPr>
                <w:b/>
              </w:rPr>
            </w:pPr>
            <w:r w:rsidRPr="00B2793A">
              <w:rPr>
                <w:b/>
                <w:bCs/>
              </w:rPr>
              <w:t xml:space="preserve">Solar – grid connected systems (supply side)  </w:t>
            </w:r>
          </w:p>
          <w:p w:rsidR="00B2793A" w:rsidRPr="00B2793A" w:rsidRDefault="00B2793A" w:rsidP="00B2793A">
            <w:pPr>
              <w:pStyle w:val="NoSpacing"/>
              <w:numPr>
                <w:ilvl w:val="1"/>
                <w:numId w:val="11"/>
              </w:numPr>
            </w:pPr>
            <w:r w:rsidRPr="00B2793A">
              <w:t>Aligned with renewable energy act, the national energy policy</w:t>
            </w:r>
          </w:p>
          <w:p w:rsidR="00B2793A" w:rsidRPr="00B2793A" w:rsidRDefault="00B2793A" w:rsidP="00B2793A">
            <w:pPr>
              <w:pStyle w:val="NoSpacing"/>
              <w:numPr>
                <w:ilvl w:val="1"/>
                <w:numId w:val="11"/>
              </w:numPr>
            </w:pPr>
            <w:r w:rsidRPr="00B2793A">
              <w:t>Contained in the 55-list of NAMAs and the 5 prioritized NAMAs</w:t>
            </w:r>
          </w:p>
          <w:p w:rsidR="00B2793A" w:rsidRPr="00B2793A" w:rsidRDefault="00B2793A" w:rsidP="00B2793A">
            <w:pPr>
              <w:pStyle w:val="NoSpacing"/>
              <w:numPr>
                <w:ilvl w:val="1"/>
                <w:numId w:val="11"/>
              </w:numPr>
            </w:pPr>
            <w:r w:rsidRPr="00B2793A">
              <w:t xml:space="preserve">FIT rates </w:t>
            </w:r>
          </w:p>
          <w:p w:rsidR="00B2793A" w:rsidRPr="00B2793A" w:rsidRDefault="00B2793A" w:rsidP="00B2793A">
            <w:pPr>
              <w:pStyle w:val="NoSpacing"/>
              <w:numPr>
                <w:ilvl w:val="1"/>
                <w:numId w:val="11"/>
              </w:numPr>
            </w:pPr>
            <w:r w:rsidRPr="00B2793A">
              <w:t>Exist PPP models</w:t>
            </w:r>
          </w:p>
          <w:p w:rsidR="00B2793A" w:rsidRPr="00B2793A" w:rsidRDefault="00B2793A" w:rsidP="00B2793A">
            <w:pPr>
              <w:pStyle w:val="NoSpacing"/>
              <w:numPr>
                <w:ilvl w:val="1"/>
                <w:numId w:val="11"/>
              </w:numPr>
            </w:pPr>
            <w:r w:rsidRPr="00B2793A">
              <w:t xml:space="preserve">Renewable energy  fund </w:t>
            </w:r>
          </w:p>
          <w:p w:rsidR="00B2793A" w:rsidRPr="00B2793A" w:rsidRDefault="00B2793A" w:rsidP="00B2793A">
            <w:pPr>
              <w:pStyle w:val="NoSpacing"/>
              <w:numPr>
                <w:ilvl w:val="1"/>
                <w:numId w:val="11"/>
              </w:numPr>
            </w:pPr>
            <w:r w:rsidRPr="00B2793A">
              <w:t>FIT offset fund (offset price disparities to promote greater penetration in the grid mix</w:t>
            </w:r>
          </w:p>
          <w:p w:rsidR="00B2793A" w:rsidRPr="00B2793A" w:rsidRDefault="00B2793A" w:rsidP="00B2793A">
            <w:pPr>
              <w:pStyle w:val="NoSpacing"/>
              <w:ind w:left="720"/>
            </w:pPr>
          </w:p>
          <w:p w:rsidR="00B2793A" w:rsidRPr="00B2793A" w:rsidRDefault="00B2793A" w:rsidP="00B2793A">
            <w:pPr>
              <w:pStyle w:val="NoSpacing"/>
              <w:numPr>
                <w:ilvl w:val="0"/>
                <w:numId w:val="11"/>
              </w:numPr>
            </w:pPr>
            <w:r w:rsidRPr="00B2793A">
              <w:rPr>
                <w:b/>
                <w:bCs/>
              </w:rPr>
              <w:t xml:space="preserve">Incorporation of RE systems into households  and commercial activities (demand side) </w:t>
            </w:r>
          </w:p>
          <w:p w:rsidR="00B2793A" w:rsidRPr="00B2793A" w:rsidRDefault="00B2793A" w:rsidP="00B2793A">
            <w:pPr>
              <w:pStyle w:val="NoSpacing"/>
              <w:numPr>
                <w:ilvl w:val="1"/>
                <w:numId w:val="11"/>
              </w:numPr>
            </w:pPr>
            <w:r w:rsidRPr="00B2793A">
              <w:t>Aligned with renewable energy act, the national energy policy</w:t>
            </w:r>
          </w:p>
          <w:p w:rsidR="00B2793A" w:rsidRPr="00B2793A" w:rsidRDefault="00B2793A" w:rsidP="00B2793A">
            <w:pPr>
              <w:pStyle w:val="NoSpacing"/>
              <w:numPr>
                <w:ilvl w:val="1"/>
                <w:numId w:val="11"/>
              </w:numPr>
            </w:pPr>
            <w:r w:rsidRPr="00B2793A">
              <w:t xml:space="preserve">Review building  of the code </w:t>
            </w:r>
          </w:p>
          <w:p w:rsidR="00B2793A" w:rsidRPr="00B2793A" w:rsidRDefault="00B2793A" w:rsidP="00B2793A">
            <w:pPr>
              <w:pStyle w:val="NoSpacing"/>
              <w:numPr>
                <w:ilvl w:val="1"/>
                <w:numId w:val="11"/>
              </w:numPr>
            </w:pPr>
            <w:r w:rsidRPr="00B2793A">
              <w:t xml:space="preserve">Involvement of start-ups or  private SMEs </w:t>
            </w:r>
          </w:p>
          <w:p w:rsidR="00B2793A" w:rsidRPr="00B2793A" w:rsidRDefault="00B2793A" w:rsidP="00B2793A">
            <w:pPr>
              <w:pStyle w:val="NoSpacing"/>
              <w:numPr>
                <w:ilvl w:val="1"/>
                <w:numId w:val="11"/>
              </w:numPr>
            </w:pPr>
            <w:r w:rsidRPr="00B2793A">
              <w:t>Use NAMAs as incentives</w:t>
            </w:r>
          </w:p>
          <w:p w:rsidR="00B2793A" w:rsidRPr="00B2793A" w:rsidRDefault="00B2793A" w:rsidP="00B2793A">
            <w:pPr>
              <w:pStyle w:val="NoSpacing"/>
              <w:numPr>
                <w:ilvl w:val="1"/>
                <w:numId w:val="11"/>
              </w:numPr>
            </w:pPr>
            <w:r w:rsidRPr="00B2793A">
              <w:t xml:space="preserve">Establish guarantee or revolving  funds </w:t>
            </w:r>
          </w:p>
          <w:p w:rsidR="00B2793A" w:rsidRPr="00B2793A" w:rsidRDefault="00B2793A" w:rsidP="00B2793A">
            <w:pPr>
              <w:pStyle w:val="NoSpacing"/>
              <w:numPr>
                <w:ilvl w:val="1"/>
                <w:numId w:val="11"/>
              </w:numPr>
            </w:pPr>
            <w:r w:rsidRPr="00B2793A">
              <w:t xml:space="preserve">Could adopt the GEDAP approach </w:t>
            </w:r>
          </w:p>
          <w:p w:rsidR="00B2793A" w:rsidRPr="00B2793A" w:rsidRDefault="00B2793A" w:rsidP="00B2793A">
            <w:pPr>
              <w:pStyle w:val="NoSpacing"/>
              <w:ind w:left="1440"/>
            </w:pPr>
          </w:p>
          <w:p w:rsidR="00B2793A" w:rsidRPr="00B2793A" w:rsidRDefault="00B2793A" w:rsidP="00B2793A">
            <w:pPr>
              <w:pStyle w:val="NoSpacing"/>
              <w:numPr>
                <w:ilvl w:val="0"/>
                <w:numId w:val="11"/>
              </w:numPr>
              <w:rPr>
                <w:b/>
              </w:rPr>
            </w:pPr>
            <w:r w:rsidRPr="00B2793A">
              <w:rPr>
                <w:b/>
                <w:bCs/>
              </w:rPr>
              <w:t xml:space="preserve">Off-grid electrification and access development </w:t>
            </w:r>
          </w:p>
          <w:p w:rsidR="00B2793A" w:rsidRPr="00B2793A" w:rsidRDefault="00B2793A" w:rsidP="00B2793A">
            <w:pPr>
              <w:pStyle w:val="NoSpacing"/>
              <w:numPr>
                <w:ilvl w:val="1"/>
                <w:numId w:val="11"/>
              </w:numPr>
            </w:pPr>
            <w:r w:rsidRPr="00B2793A">
              <w:t>Aligned with renewable energy act, the national energy policy and contained in the 55-list of NAMAs and the 5 prioritized NAMAs</w:t>
            </w:r>
          </w:p>
          <w:p w:rsidR="00B2793A" w:rsidRPr="00B2793A" w:rsidRDefault="00B2793A" w:rsidP="00B2793A">
            <w:pPr>
              <w:pStyle w:val="NoSpacing"/>
              <w:numPr>
                <w:ilvl w:val="1"/>
                <w:numId w:val="11"/>
              </w:numPr>
            </w:pPr>
            <w:r w:rsidRPr="00B2793A">
              <w:t>Aligned with GEDAP</w:t>
            </w:r>
          </w:p>
          <w:p w:rsidR="00B2793A" w:rsidRPr="00B2793A" w:rsidRDefault="00B2793A" w:rsidP="00B2793A">
            <w:pPr>
              <w:pStyle w:val="NoSpacing"/>
              <w:numPr>
                <w:ilvl w:val="1"/>
                <w:numId w:val="11"/>
              </w:numPr>
            </w:pPr>
            <w:r w:rsidRPr="00B2793A">
              <w:t>Universal  electricity coverage by 2015</w:t>
            </w:r>
          </w:p>
          <w:p w:rsidR="00B2793A" w:rsidRPr="00B2793A" w:rsidRDefault="00B2793A" w:rsidP="00B2793A">
            <w:pPr>
              <w:pStyle w:val="NoSpacing"/>
              <w:numPr>
                <w:ilvl w:val="1"/>
                <w:numId w:val="11"/>
              </w:numPr>
            </w:pPr>
            <w:r w:rsidRPr="00B2793A">
              <w:t xml:space="preserve">Community far away from the public grid could be the target of this option. </w:t>
            </w:r>
          </w:p>
          <w:p w:rsidR="00B2793A" w:rsidRPr="00B2793A" w:rsidRDefault="00B2793A" w:rsidP="00B2793A">
            <w:pPr>
              <w:pStyle w:val="NoSpacing"/>
              <w:numPr>
                <w:ilvl w:val="1"/>
                <w:numId w:val="11"/>
              </w:numPr>
            </w:pPr>
            <w:r w:rsidRPr="00B2793A">
              <w:t xml:space="preserve">Such communities are the food basket of the nation. </w:t>
            </w:r>
          </w:p>
          <w:p w:rsidR="00B2793A" w:rsidRPr="00B2793A" w:rsidRDefault="00B2793A" w:rsidP="00B2793A">
            <w:pPr>
              <w:pStyle w:val="NoSpacing"/>
              <w:numPr>
                <w:ilvl w:val="1"/>
                <w:numId w:val="11"/>
              </w:numPr>
            </w:pPr>
            <w:r w:rsidRPr="00B2793A">
              <w:t xml:space="preserve">Socio-economic developments in such communities are essential. </w:t>
            </w:r>
          </w:p>
          <w:p w:rsidR="00B2793A" w:rsidRPr="00B2793A" w:rsidRDefault="00B2793A" w:rsidP="00B2793A">
            <w:pPr>
              <w:pStyle w:val="NoSpacing"/>
              <w:numPr>
                <w:ilvl w:val="1"/>
                <w:numId w:val="11"/>
              </w:numPr>
            </w:pPr>
            <w:r w:rsidRPr="00B2793A">
              <w:t xml:space="preserve">Cost of putting them on the grid is technically challenging and not cost effective.     </w:t>
            </w:r>
          </w:p>
          <w:p w:rsidR="00B2793A" w:rsidRPr="00B2793A" w:rsidRDefault="00B2793A" w:rsidP="00B2793A">
            <w:pPr>
              <w:pStyle w:val="NoSpacing"/>
              <w:numPr>
                <w:ilvl w:val="1"/>
                <w:numId w:val="11"/>
              </w:numPr>
            </w:pPr>
            <w:r w:rsidRPr="00B2793A">
              <w:t xml:space="preserve">Mini-grid using wind-solar-thermal (hybrid system) is being promoted apart of the universal policy target by 2015. </w:t>
            </w:r>
          </w:p>
          <w:p w:rsidR="00B2793A" w:rsidRPr="00B2793A" w:rsidRDefault="00B2793A" w:rsidP="00B2793A">
            <w:pPr>
              <w:pStyle w:val="NoSpacing"/>
              <w:numPr>
                <w:ilvl w:val="1"/>
                <w:numId w:val="11"/>
              </w:numPr>
            </w:pPr>
            <w:r w:rsidRPr="00B2793A">
              <w:t xml:space="preserve">Up-scaling of the kerosene lamp replacement with solar lantern programme has additional scope. </w:t>
            </w:r>
          </w:p>
          <w:p w:rsidR="00B2793A" w:rsidRPr="00B2793A" w:rsidRDefault="00B2793A" w:rsidP="00B2793A">
            <w:pPr>
              <w:pStyle w:val="NoSpacing"/>
              <w:ind w:left="720"/>
              <w:rPr>
                <w:b/>
              </w:rPr>
            </w:pPr>
          </w:p>
          <w:p w:rsidR="00B2793A" w:rsidRPr="00B2793A" w:rsidRDefault="00B2793A" w:rsidP="00B2793A">
            <w:pPr>
              <w:pStyle w:val="NoSpacing"/>
              <w:numPr>
                <w:ilvl w:val="0"/>
                <w:numId w:val="11"/>
              </w:numPr>
              <w:rPr>
                <w:b/>
              </w:rPr>
            </w:pPr>
            <w:r w:rsidRPr="00B2793A">
              <w:rPr>
                <w:b/>
                <w:bCs/>
              </w:rPr>
              <w:t xml:space="preserve">Productive use of energy under SEA4ALL -  </w:t>
            </w:r>
            <w:r w:rsidRPr="00B2793A">
              <w:rPr>
                <w:b/>
              </w:rPr>
              <w:t>Wind/solar powered irrigation system</w:t>
            </w:r>
          </w:p>
          <w:p w:rsidR="00B2793A" w:rsidRPr="00B2793A" w:rsidRDefault="00B2793A" w:rsidP="00B2793A">
            <w:pPr>
              <w:pStyle w:val="NoSpacing"/>
              <w:numPr>
                <w:ilvl w:val="1"/>
                <w:numId w:val="11"/>
              </w:numPr>
            </w:pPr>
            <w:r w:rsidRPr="00B2793A">
              <w:t xml:space="preserve">Flagship of the SEA4ALL Action Plan, FASDEP 2 and national energy policy </w:t>
            </w:r>
          </w:p>
          <w:p w:rsidR="00B2793A" w:rsidRPr="00B2793A" w:rsidRDefault="00B2793A" w:rsidP="00B2793A">
            <w:pPr>
              <w:pStyle w:val="NoSpacing"/>
              <w:numPr>
                <w:ilvl w:val="1"/>
                <w:numId w:val="11"/>
              </w:numPr>
            </w:pPr>
            <w:r w:rsidRPr="00B2793A">
              <w:t xml:space="preserve">Wind/solar powered irrigation system in food growing parts of the country </w:t>
            </w:r>
          </w:p>
          <w:p w:rsidR="00B2793A" w:rsidRPr="00B2793A" w:rsidRDefault="00B2793A" w:rsidP="00B2793A">
            <w:pPr>
              <w:pStyle w:val="NoSpacing"/>
              <w:numPr>
                <w:ilvl w:val="1"/>
                <w:numId w:val="11"/>
              </w:numPr>
            </w:pPr>
            <w:r w:rsidRPr="00B2793A">
              <w:t xml:space="preserve">Accessibility and reliability of services </w:t>
            </w:r>
          </w:p>
          <w:p w:rsidR="00B2793A" w:rsidRPr="00B2793A" w:rsidRDefault="00B2793A" w:rsidP="00B2793A">
            <w:pPr>
              <w:pStyle w:val="NoSpacing"/>
              <w:numPr>
                <w:ilvl w:val="1"/>
                <w:numId w:val="11"/>
              </w:numPr>
            </w:pPr>
            <w:r w:rsidRPr="00B2793A">
              <w:t>Develop service hub to support network of food growing areas</w:t>
            </w:r>
          </w:p>
          <w:p w:rsidR="00B2793A" w:rsidRPr="00B2793A" w:rsidRDefault="00B2793A" w:rsidP="00B2793A">
            <w:pPr>
              <w:pStyle w:val="NoSpacing"/>
              <w:numPr>
                <w:ilvl w:val="1"/>
                <w:numId w:val="11"/>
              </w:numPr>
            </w:pPr>
            <w:r w:rsidRPr="00B2793A">
              <w:t>Improve Incomes of target users</w:t>
            </w:r>
          </w:p>
          <w:p w:rsidR="00B2793A" w:rsidRPr="00B2793A" w:rsidRDefault="00B2793A" w:rsidP="00B2793A">
            <w:pPr>
              <w:pStyle w:val="NoSpacing"/>
              <w:numPr>
                <w:ilvl w:val="1"/>
                <w:numId w:val="11"/>
              </w:numPr>
            </w:pPr>
            <w:r w:rsidRPr="00B2793A">
              <w:t xml:space="preserve">Food security  </w:t>
            </w:r>
          </w:p>
          <w:p w:rsidR="00B2793A" w:rsidRPr="00B2793A" w:rsidRDefault="00B2793A" w:rsidP="00B2793A">
            <w:pPr>
              <w:pStyle w:val="NoSpacing"/>
              <w:numPr>
                <w:ilvl w:val="1"/>
                <w:numId w:val="11"/>
              </w:numPr>
            </w:pPr>
            <w:r w:rsidRPr="00B2793A">
              <w:t xml:space="preserve">Reduce vulnerability to the negative impacts of  climate change </w:t>
            </w:r>
          </w:p>
          <w:p w:rsidR="00B2793A" w:rsidRPr="00B2793A" w:rsidRDefault="00B2793A" w:rsidP="00B2793A">
            <w:pPr>
              <w:pStyle w:val="NoSpacing"/>
              <w:numPr>
                <w:ilvl w:val="1"/>
                <w:numId w:val="11"/>
              </w:numPr>
            </w:pPr>
            <w:r w:rsidRPr="00B2793A">
              <w:t xml:space="preserve">Potential for SMEs </w:t>
            </w:r>
          </w:p>
          <w:p w:rsidR="00B2793A" w:rsidRPr="00B2793A" w:rsidRDefault="00B2793A" w:rsidP="00B2793A">
            <w:pPr>
              <w:pStyle w:val="NoSpacing"/>
              <w:ind w:left="720"/>
              <w:rPr>
                <w:b/>
              </w:rPr>
            </w:pPr>
          </w:p>
          <w:p w:rsidR="00B2793A" w:rsidRPr="00B2793A" w:rsidRDefault="00B2793A" w:rsidP="00B2793A">
            <w:pPr>
              <w:pStyle w:val="NoSpacing"/>
              <w:numPr>
                <w:ilvl w:val="0"/>
                <w:numId w:val="11"/>
              </w:numPr>
              <w:rPr>
                <w:b/>
              </w:rPr>
            </w:pPr>
            <w:r w:rsidRPr="00B2793A">
              <w:rPr>
                <w:b/>
                <w:bCs/>
              </w:rPr>
              <w:t xml:space="preserve">Productive use of energy under SEA4ALL – RE-powered drying systems to support economic activities in fishing communities </w:t>
            </w:r>
          </w:p>
          <w:p w:rsidR="00B2793A" w:rsidRPr="00B2793A" w:rsidRDefault="00B2793A" w:rsidP="00B2793A">
            <w:pPr>
              <w:pStyle w:val="NoSpacing"/>
              <w:numPr>
                <w:ilvl w:val="1"/>
                <w:numId w:val="12"/>
              </w:numPr>
            </w:pPr>
            <w:r w:rsidRPr="00B2793A">
              <w:t xml:space="preserve">Wind/solar can support community-based economic activities (fisheries) </w:t>
            </w:r>
          </w:p>
          <w:p w:rsidR="00B2793A" w:rsidRPr="00B2793A" w:rsidRDefault="00B2793A" w:rsidP="00B2793A">
            <w:pPr>
              <w:pStyle w:val="NoSpacing"/>
              <w:numPr>
                <w:ilvl w:val="1"/>
                <w:numId w:val="12"/>
              </w:numPr>
            </w:pPr>
            <w:r w:rsidRPr="00B2793A">
              <w:t xml:space="preserve">Accessibility and reliability of services </w:t>
            </w:r>
          </w:p>
          <w:p w:rsidR="00B2793A" w:rsidRPr="00B2793A" w:rsidRDefault="00B2793A" w:rsidP="00B2793A">
            <w:pPr>
              <w:pStyle w:val="NoSpacing"/>
              <w:numPr>
                <w:ilvl w:val="1"/>
                <w:numId w:val="12"/>
              </w:numPr>
            </w:pPr>
            <w:r w:rsidRPr="00B2793A">
              <w:t xml:space="preserve">Develop service hub to support network of fishing communities </w:t>
            </w:r>
          </w:p>
          <w:p w:rsidR="00B2793A" w:rsidRPr="00B2793A" w:rsidRDefault="00B2793A" w:rsidP="00B2793A">
            <w:pPr>
              <w:pStyle w:val="NoSpacing"/>
              <w:numPr>
                <w:ilvl w:val="1"/>
                <w:numId w:val="12"/>
              </w:numPr>
            </w:pPr>
            <w:r w:rsidRPr="00B2793A">
              <w:t>Improve Incomes of target users</w:t>
            </w:r>
          </w:p>
          <w:p w:rsidR="00B2793A" w:rsidRPr="00B2793A" w:rsidRDefault="00B2793A" w:rsidP="00B2793A">
            <w:pPr>
              <w:pStyle w:val="NoSpacing"/>
              <w:numPr>
                <w:ilvl w:val="1"/>
                <w:numId w:val="12"/>
              </w:numPr>
            </w:pPr>
            <w:r w:rsidRPr="00B2793A">
              <w:t xml:space="preserve">Food security  </w:t>
            </w:r>
          </w:p>
          <w:p w:rsidR="00B2793A" w:rsidRPr="00B2793A" w:rsidRDefault="00B2793A" w:rsidP="00B2793A">
            <w:pPr>
              <w:pStyle w:val="NoSpacing"/>
              <w:numPr>
                <w:ilvl w:val="1"/>
                <w:numId w:val="12"/>
              </w:numPr>
            </w:pPr>
            <w:r w:rsidRPr="00B2793A">
              <w:t xml:space="preserve">Potential for SMEs </w:t>
            </w:r>
          </w:p>
          <w:p w:rsidR="00B2793A" w:rsidRPr="00B2793A" w:rsidRDefault="00B2793A" w:rsidP="00B2793A">
            <w:pPr>
              <w:pStyle w:val="NoSpacing"/>
              <w:ind w:left="1440"/>
            </w:pPr>
          </w:p>
          <w:p w:rsidR="00B2793A" w:rsidRPr="00B2793A" w:rsidRDefault="00B2793A" w:rsidP="00B2793A">
            <w:pPr>
              <w:pStyle w:val="NoSpacing"/>
              <w:numPr>
                <w:ilvl w:val="0"/>
                <w:numId w:val="11"/>
              </w:numPr>
              <w:rPr>
                <w:b/>
              </w:rPr>
            </w:pPr>
            <w:r w:rsidRPr="00B2793A">
              <w:rPr>
                <w:b/>
                <w:bCs/>
              </w:rPr>
              <w:t xml:space="preserve">10% biofuel blend  </w:t>
            </w:r>
          </w:p>
          <w:p w:rsidR="00B2793A" w:rsidRPr="00B2793A" w:rsidRDefault="00B2793A" w:rsidP="00B2793A">
            <w:pPr>
              <w:pStyle w:val="NoSpacing"/>
              <w:numPr>
                <w:ilvl w:val="0"/>
                <w:numId w:val="13"/>
              </w:numPr>
            </w:pPr>
            <w:r w:rsidRPr="00B2793A">
              <w:t xml:space="preserve">New policy directive.  </w:t>
            </w:r>
          </w:p>
          <w:p w:rsidR="00B2793A" w:rsidRPr="00B2793A" w:rsidRDefault="00B2793A" w:rsidP="00B2793A">
            <w:pPr>
              <w:pStyle w:val="NoSpacing"/>
              <w:numPr>
                <w:ilvl w:val="0"/>
                <w:numId w:val="13"/>
              </w:numPr>
            </w:pPr>
            <w:r w:rsidRPr="00B2793A">
              <w:t xml:space="preserve">Policy must be in place to promote biofuel blend </w:t>
            </w:r>
          </w:p>
          <w:p w:rsidR="00B2793A" w:rsidRPr="00B2793A" w:rsidRDefault="00B2793A" w:rsidP="00B2793A">
            <w:pPr>
              <w:pStyle w:val="NoSpacing"/>
              <w:numPr>
                <w:ilvl w:val="0"/>
                <w:numId w:val="13"/>
              </w:numPr>
            </w:pPr>
            <w:r w:rsidRPr="00B2793A">
              <w:t xml:space="preserve">The blend in the RE act </w:t>
            </w:r>
          </w:p>
          <w:p w:rsidR="00B2793A" w:rsidRPr="00B2793A" w:rsidRDefault="00B2793A" w:rsidP="00B2793A">
            <w:pPr>
              <w:pStyle w:val="NoSpacing"/>
              <w:numPr>
                <w:ilvl w:val="0"/>
                <w:numId w:val="13"/>
              </w:numPr>
            </w:pPr>
            <w:r w:rsidRPr="00B2793A">
              <w:t xml:space="preserve">Consider entire biofuel supply chain </w:t>
            </w:r>
          </w:p>
          <w:p w:rsidR="00B2793A" w:rsidRPr="00B2793A" w:rsidRDefault="00B2793A" w:rsidP="00B2793A">
            <w:pPr>
              <w:pStyle w:val="NoSpacing"/>
              <w:numPr>
                <w:ilvl w:val="0"/>
                <w:numId w:val="13"/>
              </w:numPr>
            </w:pPr>
            <w:r w:rsidRPr="00B2793A">
              <w:t>Barriers in the update because policy has been rooted.</w:t>
            </w:r>
          </w:p>
          <w:p w:rsidR="00B2793A" w:rsidRPr="00B2793A" w:rsidRDefault="00B2793A" w:rsidP="00B2793A">
            <w:pPr>
              <w:pStyle w:val="NoSpacing"/>
            </w:pPr>
          </w:p>
          <w:p w:rsidR="00B2793A" w:rsidRPr="00B2793A" w:rsidRDefault="00B2793A" w:rsidP="00B2793A">
            <w:pPr>
              <w:pStyle w:val="NoSpacing"/>
              <w:rPr>
                <w:b/>
              </w:rPr>
            </w:pPr>
            <w:r w:rsidRPr="00B2793A">
              <w:rPr>
                <w:b/>
              </w:rPr>
              <w:t>Demand side management (Energy Efficiency)</w:t>
            </w:r>
          </w:p>
          <w:p w:rsidR="00B2793A" w:rsidRPr="00B2793A" w:rsidRDefault="00B2793A" w:rsidP="00B2793A">
            <w:pPr>
              <w:pStyle w:val="NoSpacing"/>
              <w:numPr>
                <w:ilvl w:val="0"/>
                <w:numId w:val="11"/>
              </w:numPr>
            </w:pPr>
            <w:r w:rsidRPr="00B2793A">
              <w:rPr>
                <w:b/>
                <w:bCs/>
              </w:rPr>
              <w:t>Household level education programme on electricity conservation</w:t>
            </w:r>
          </w:p>
          <w:p w:rsidR="00B2793A" w:rsidRPr="00B2793A" w:rsidRDefault="00B2793A" w:rsidP="00B2793A">
            <w:pPr>
              <w:pStyle w:val="NoSpacing"/>
              <w:numPr>
                <w:ilvl w:val="1"/>
                <w:numId w:val="11"/>
              </w:numPr>
            </w:pPr>
            <w:r w:rsidRPr="00B2793A">
              <w:t>Aligned with renewable energy act, the national energy policy and</w:t>
            </w:r>
          </w:p>
          <w:p w:rsidR="00B2793A" w:rsidRPr="00B2793A" w:rsidRDefault="00B2793A" w:rsidP="00B2793A">
            <w:pPr>
              <w:pStyle w:val="NoSpacing"/>
              <w:numPr>
                <w:ilvl w:val="1"/>
                <w:numId w:val="11"/>
              </w:numPr>
            </w:pPr>
            <w:r w:rsidRPr="00B2793A">
              <w:t>Contained in the 55-list of NAMAs and the 5 prioritized NAMAs</w:t>
            </w:r>
          </w:p>
          <w:p w:rsidR="00B2793A" w:rsidRPr="00B2793A" w:rsidRDefault="00B2793A" w:rsidP="00B2793A">
            <w:pPr>
              <w:pStyle w:val="NoSpacing"/>
              <w:numPr>
                <w:ilvl w:val="1"/>
                <w:numId w:val="11"/>
              </w:numPr>
            </w:pPr>
            <w:r w:rsidRPr="00B2793A">
              <w:t>Aligned with SEA4ALL  EE improvement goals</w:t>
            </w:r>
          </w:p>
          <w:p w:rsidR="00B2793A" w:rsidRPr="00B2793A" w:rsidRDefault="00B2793A" w:rsidP="00B2793A">
            <w:pPr>
              <w:pStyle w:val="NoSpacing"/>
              <w:numPr>
                <w:ilvl w:val="1"/>
                <w:numId w:val="11"/>
              </w:numPr>
            </w:pPr>
            <w:r w:rsidRPr="00B2793A">
              <w:t xml:space="preserve">Reduction on end user electricity conservation </w:t>
            </w:r>
          </w:p>
          <w:p w:rsidR="00B2793A" w:rsidRPr="00B2793A" w:rsidRDefault="00B2793A" w:rsidP="00B2793A">
            <w:pPr>
              <w:pStyle w:val="NoSpacing"/>
              <w:numPr>
                <w:ilvl w:val="0"/>
                <w:numId w:val="13"/>
              </w:numPr>
            </w:pPr>
            <w:r w:rsidRPr="00B2793A">
              <w:t xml:space="preserve">Promote energy saving practices especially during peak hours. </w:t>
            </w:r>
          </w:p>
          <w:p w:rsidR="00B2793A" w:rsidRPr="00B2793A" w:rsidRDefault="00B2793A" w:rsidP="00B2793A">
            <w:pPr>
              <w:pStyle w:val="NoSpacing"/>
              <w:numPr>
                <w:ilvl w:val="0"/>
                <w:numId w:val="13"/>
              </w:numPr>
            </w:pPr>
            <w:r w:rsidRPr="00B2793A">
              <w:t xml:space="preserve">Benefits to reducing electricity waste </w:t>
            </w:r>
          </w:p>
          <w:p w:rsidR="00B2793A" w:rsidRPr="00B2793A" w:rsidRDefault="00B2793A" w:rsidP="00B2793A">
            <w:pPr>
              <w:pStyle w:val="NoSpacing"/>
              <w:numPr>
                <w:ilvl w:val="0"/>
                <w:numId w:val="13"/>
              </w:numPr>
            </w:pPr>
            <w:r w:rsidRPr="00B2793A">
              <w:t>Cost saving – electricity bills</w:t>
            </w:r>
          </w:p>
          <w:p w:rsidR="00B2793A" w:rsidRPr="00B2793A" w:rsidRDefault="00B2793A" w:rsidP="00B2793A">
            <w:pPr>
              <w:pStyle w:val="NoSpacing"/>
              <w:ind w:left="1440"/>
            </w:pPr>
          </w:p>
          <w:p w:rsidR="00B2793A" w:rsidRPr="00B2793A" w:rsidRDefault="00B2793A" w:rsidP="00B2793A">
            <w:pPr>
              <w:pStyle w:val="NoSpacing"/>
              <w:numPr>
                <w:ilvl w:val="0"/>
                <w:numId w:val="11"/>
              </w:numPr>
            </w:pPr>
            <w:r w:rsidRPr="00B2793A">
              <w:rPr>
                <w:b/>
                <w:bCs/>
              </w:rPr>
              <w:t>Household and commercial EE promotion programs (bundling approach)</w:t>
            </w:r>
          </w:p>
          <w:p w:rsidR="00B2793A" w:rsidRPr="00B2793A" w:rsidRDefault="00B2793A" w:rsidP="00B2793A">
            <w:pPr>
              <w:pStyle w:val="NoSpacing"/>
              <w:numPr>
                <w:ilvl w:val="1"/>
                <w:numId w:val="11"/>
              </w:numPr>
              <w:rPr>
                <w:bCs/>
              </w:rPr>
            </w:pPr>
            <w:r w:rsidRPr="00B2793A">
              <w:rPr>
                <w:bCs/>
              </w:rPr>
              <w:t>Installation of Photo cells for households</w:t>
            </w:r>
          </w:p>
          <w:p w:rsidR="00B2793A" w:rsidRPr="00B2793A" w:rsidRDefault="00B2793A" w:rsidP="00B2793A">
            <w:pPr>
              <w:pStyle w:val="NoSpacing"/>
              <w:numPr>
                <w:ilvl w:val="1"/>
                <w:numId w:val="11"/>
              </w:numPr>
              <w:rPr>
                <w:bCs/>
              </w:rPr>
            </w:pPr>
            <w:r w:rsidRPr="00B2793A">
              <w:rPr>
                <w:bCs/>
              </w:rPr>
              <w:t>Capacitors in industry/commercial (power factor correction programme)</w:t>
            </w:r>
          </w:p>
          <w:p w:rsidR="00B2793A" w:rsidRPr="00B2793A" w:rsidRDefault="00B2793A" w:rsidP="00B2793A">
            <w:pPr>
              <w:pStyle w:val="NoSpacing"/>
              <w:numPr>
                <w:ilvl w:val="2"/>
                <w:numId w:val="11"/>
              </w:numPr>
              <w:rPr>
                <w:bCs/>
              </w:rPr>
            </w:pPr>
            <w:r w:rsidRPr="00B2793A">
              <w:rPr>
                <w:bCs/>
              </w:rPr>
              <w:t>Review  the power factor surcharge upwards</w:t>
            </w:r>
          </w:p>
          <w:p w:rsidR="00B2793A" w:rsidRPr="00B2793A" w:rsidRDefault="00B2793A" w:rsidP="00B2793A">
            <w:pPr>
              <w:pStyle w:val="NoSpacing"/>
              <w:numPr>
                <w:ilvl w:val="2"/>
                <w:numId w:val="11"/>
              </w:numPr>
              <w:rPr>
                <w:bCs/>
              </w:rPr>
            </w:pPr>
            <w:r w:rsidRPr="00B2793A">
              <w:rPr>
                <w:bCs/>
              </w:rPr>
              <w:t>Scale-up of on-going power factor correction programme</w:t>
            </w:r>
          </w:p>
          <w:p w:rsidR="00B2793A" w:rsidRPr="00B2793A" w:rsidRDefault="00B2793A" w:rsidP="00B2793A">
            <w:pPr>
              <w:pStyle w:val="NoSpacing"/>
              <w:numPr>
                <w:ilvl w:val="2"/>
                <w:numId w:val="11"/>
              </w:numPr>
              <w:rPr>
                <w:bCs/>
              </w:rPr>
            </w:pPr>
            <w:r w:rsidRPr="00B2793A">
              <w:rPr>
                <w:bCs/>
              </w:rPr>
              <w:t>Energy audit  for the SLTs</w:t>
            </w:r>
          </w:p>
          <w:p w:rsidR="00B2793A" w:rsidRPr="00B2793A" w:rsidRDefault="00B2793A" w:rsidP="00B2793A">
            <w:pPr>
              <w:pStyle w:val="NoSpacing"/>
              <w:ind w:left="2160"/>
              <w:rPr>
                <w:b/>
                <w:bCs/>
              </w:rPr>
            </w:pPr>
          </w:p>
          <w:p w:rsidR="00B2793A" w:rsidRPr="00B2793A" w:rsidRDefault="00B2793A" w:rsidP="00B2793A">
            <w:pPr>
              <w:pStyle w:val="NoSpacing"/>
              <w:numPr>
                <w:ilvl w:val="0"/>
                <w:numId w:val="11"/>
              </w:numPr>
            </w:pPr>
            <w:r w:rsidRPr="00B2793A">
              <w:rPr>
                <w:b/>
                <w:bCs/>
              </w:rPr>
              <w:t xml:space="preserve">Embedded solar street lighting system </w:t>
            </w:r>
          </w:p>
          <w:p w:rsidR="00B2793A" w:rsidRPr="00B2793A" w:rsidRDefault="00B2793A" w:rsidP="00B2793A">
            <w:pPr>
              <w:pStyle w:val="NoSpacing"/>
              <w:numPr>
                <w:ilvl w:val="1"/>
                <w:numId w:val="11"/>
              </w:numPr>
            </w:pPr>
            <w:r w:rsidRPr="00B2793A">
              <w:rPr>
                <w:bCs/>
              </w:rPr>
              <w:t xml:space="preserve">Aligned with street light policy, RE Act, </w:t>
            </w:r>
          </w:p>
          <w:p w:rsidR="00B2793A" w:rsidRPr="00B2793A" w:rsidRDefault="00B2793A" w:rsidP="00B2793A">
            <w:pPr>
              <w:pStyle w:val="NoSpacing"/>
              <w:numPr>
                <w:ilvl w:val="1"/>
                <w:numId w:val="11"/>
              </w:numPr>
            </w:pPr>
            <w:r w:rsidRPr="00B2793A">
              <w:rPr>
                <w:bCs/>
              </w:rPr>
              <w:t>Energy saving opportunities</w:t>
            </w:r>
          </w:p>
          <w:p w:rsidR="00B2793A" w:rsidRPr="00B2793A" w:rsidRDefault="00B2793A" w:rsidP="00B2793A">
            <w:pPr>
              <w:pStyle w:val="NoSpacing"/>
              <w:numPr>
                <w:ilvl w:val="1"/>
                <w:numId w:val="11"/>
              </w:numPr>
            </w:pPr>
            <w:r w:rsidRPr="00B2793A">
              <w:rPr>
                <w:bCs/>
              </w:rPr>
              <w:lastRenderedPageBreak/>
              <w:t>wheel power to the grid</w:t>
            </w:r>
          </w:p>
          <w:p w:rsidR="00B2793A" w:rsidRPr="00B2793A" w:rsidRDefault="00B2793A" w:rsidP="00B2793A">
            <w:pPr>
              <w:pStyle w:val="NoSpacing"/>
              <w:numPr>
                <w:ilvl w:val="1"/>
                <w:numId w:val="11"/>
              </w:numPr>
            </w:pPr>
            <w:r w:rsidRPr="00B2793A">
              <w:rPr>
                <w:bCs/>
              </w:rPr>
              <w:t>reduced emission from electricity generation</w:t>
            </w:r>
          </w:p>
          <w:p w:rsidR="00B2793A" w:rsidRPr="00B2793A" w:rsidRDefault="00B2793A" w:rsidP="00B2793A">
            <w:pPr>
              <w:pStyle w:val="NoSpacing"/>
              <w:numPr>
                <w:ilvl w:val="1"/>
                <w:numId w:val="11"/>
              </w:numPr>
            </w:pPr>
            <w:r w:rsidRPr="00B2793A">
              <w:rPr>
                <w:bCs/>
              </w:rPr>
              <w:t>contribute to electricity reliability from street lighting</w:t>
            </w:r>
          </w:p>
          <w:p w:rsidR="00B2793A" w:rsidRPr="00B2793A" w:rsidRDefault="00B2793A" w:rsidP="00B2793A">
            <w:pPr>
              <w:pStyle w:val="NoSpacing"/>
              <w:ind w:left="1440"/>
            </w:pPr>
          </w:p>
          <w:p w:rsidR="00B2793A" w:rsidRPr="00B2793A" w:rsidRDefault="00B2793A" w:rsidP="00B2793A">
            <w:pPr>
              <w:pStyle w:val="NoSpacing"/>
              <w:numPr>
                <w:ilvl w:val="0"/>
                <w:numId w:val="11"/>
              </w:numPr>
              <w:rPr>
                <w:szCs w:val="20"/>
              </w:rPr>
            </w:pPr>
            <w:r w:rsidRPr="00B2793A">
              <w:rPr>
                <w:b/>
                <w:bCs/>
                <w:szCs w:val="20"/>
              </w:rPr>
              <w:t xml:space="preserve">Fridge rebate scheme – expand the scope </w:t>
            </w:r>
          </w:p>
          <w:p w:rsidR="00B2793A" w:rsidRPr="00B2793A" w:rsidRDefault="00B2793A" w:rsidP="00B2793A">
            <w:pPr>
              <w:pStyle w:val="NoSpacing"/>
              <w:numPr>
                <w:ilvl w:val="1"/>
                <w:numId w:val="11"/>
              </w:numPr>
              <w:rPr>
                <w:szCs w:val="20"/>
              </w:rPr>
            </w:pPr>
            <w:r w:rsidRPr="00B2793A">
              <w:rPr>
                <w:szCs w:val="20"/>
              </w:rPr>
              <w:t>Mechanism to consider first time buyers</w:t>
            </w:r>
          </w:p>
          <w:p w:rsidR="00B2793A" w:rsidRPr="00B2793A" w:rsidRDefault="00B2793A" w:rsidP="00B2793A">
            <w:pPr>
              <w:pStyle w:val="NoSpacing"/>
              <w:numPr>
                <w:ilvl w:val="1"/>
                <w:numId w:val="11"/>
              </w:numPr>
              <w:rPr>
                <w:szCs w:val="20"/>
              </w:rPr>
            </w:pPr>
            <w:r w:rsidRPr="00B2793A">
              <w:rPr>
                <w:szCs w:val="20"/>
              </w:rPr>
              <w:t>Promote penetration of solar fridges using DC devices</w:t>
            </w:r>
          </w:p>
          <w:p w:rsidR="00B2793A" w:rsidRPr="00B2793A" w:rsidRDefault="00B2793A" w:rsidP="00B2793A">
            <w:pPr>
              <w:pStyle w:val="NoSpacing"/>
              <w:rPr>
                <w:szCs w:val="20"/>
              </w:rPr>
            </w:pPr>
          </w:p>
          <w:p w:rsidR="00B2793A" w:rsidRPr="00B2793A" w:rsidRDefault="00B2793A" w:rsidP="00B2793A">
            <w:pPr>
              <w:pStyle w:val="NoSpacing"/>
              <w:rPr>
                <w:b/>
                <w:szCs w:val="20"/>
              </w:rPr>
            </w:pPr>
            <w:r w:rsidRPr="00B2793A">
              <w:rPr>
                <w:b/>
                <w:szCs w:val="20"/>
              </w:rPr>
              <w:t>Pruning of idea areas into 5</w:t>
            </w:r>
          </w:p>
          <w:p w:rsidR="00B2793A" w:rsidRPr="00B2793A" w:rsidRDefault="00B2793A" w:rsidP="00B2793A">
            <w:pPr>
              <w:pStyle w:val="NoSpacing"/>
              <w:rPr>
                <w:szCs w:val="20"/>
              </w:rPr>
            </w:pPr>
            <w:r w:rsidRPr="00B2793A">
              <w:rPr>
                <w:szCs w:val="20"/>
              </w:rPr>
              <w:t>The meeting further pruned the 13 options into 5 based on the criteria below and alignment with the following national documents:</w:t>
            </w:r>
          </w:p>
          <w:p w:rsidR="00B2793A" w:rsidRPr="00B2793A" w:rsidRDefault="00B2793A" w:rsidP="00B2793A">
            <w:pPr>
              <w:pStyle w:val="NoSpacing"/>
              <w:numPr>
                <w:ilvl w:val="0"/>
                <w:numId w:val="14"/>
              </w:numPr>
              <w:rPr>
                <w:szCs w:val="20"/>
              </w:rPr>
            </w:pPr>
            <w:r w:rsidRPr="00B2793A">
              <w:rPr>
                <w:szCs w:val="20"/>
              </w:rPr>
              <w:t>Ghana shared growth development agenda</w:t>
            </w:r>
          </w:p>
          <w:p w:rsidR="00B2793A" w:rsidRPr="00B2793A" w:rsidRDefault="00B2793A" w:rsidP="00B2793A">
            <w:pPr>
              <w:pStyle w:val="NoSpacing"/>
              <w:numPr>
                <w:ilvl w:val="0"/>
                <w:numId w:val="14"/>
              </w:numPr>
              <w:rPr>
                <w:szCs w:val="20"/>
              </w:rPr>
            </w:pPr>
            <w:r w:rsidRPr="00B2793A">
              <w:rPr>
                <w:szCs w:val="20"/>
              </w:rPr>
              <w:t>National energy policy</w:t>
            </w:r>
          </w:p>
          <w:p w:rsidR="00B2793A" w:rsidRPr="00B2793A" w:rsidRDefault="00B2793A" w:rsidP="00B2793A">
            <w:pPr>
              <w:pStyle w:val="NoSpacing"/>
              <w:numPr>
                <w:ilvl w:val="0"/>
                <w:numId w:val="14"/>
              </w:numPr>
              <w:rPr>
                <w:szCs w:val="20"/>
              </w:rPr>
            </w:pPr>
            <w:r w:rsidRPr="00B2793A">
              <w:rPr>
                <w:szCs w:val="20"/>
              </w:rPr>
              <w:t xml:space="preserve">SEA4ALL Action Plan </w:t>
            </w:r>
          </w:p>
          <w:p w:rsidR="00B2793A" w:rsidRPr="00B2793A" w:rsidRDefault="00B2793A" w:rsidP="00B2793A">
            <w:pPr>
              <w:pStyle w:val="NoSpacing"/>
              <w:numPr>
                <w:ilvl w:val="0"/>
                <w:numId w:val="14"/>
              </w:numPr>
              <w:rPr>
                <w:szCs w:val="20"/>
              </w:rPr>
            </w:pPr>
            <w:r w:rsidRPr="00B2793A">
              <w:rPr>
                <w:szCs w:val="20"/>
              </w:rPr>
              <w:t xml:space="preserve">National  Climate Change Policy and 5 sector strategies </w:t>
            </w:r>
          </w:p>
          <w:p w:rsidR="00B2793A" w:rsidRDefault="00B2793A" w:rsidP="00B2793A">
            <w:pPr>
              <w:pStyle w:val="NoSpacing"/>
              <w:numPr>
                <w:ilvl w:val="0"/>
                <w:numId w:val="14"/>
              </w:numPr>
              <w:rPr>
                <w:szCs w:val="20"/>
              </w:rPr>
            </w:pPr>
            <w:r w:rsidRPr="00B2793A">
              <w:rPr>
                <w:szCs w:val="20"/>
              </w:rPr>
              <w:t>55 list of NAMAs and 5 further prioritized NAMAs</w:t>
            </w:r>
          </w:p>
          <w:p w:rsidR="00B2793A" w:rsidRPr="00B2793A" w:rsidRDefault="00B2793A" w:rsidP="00B2793A">
            <w:pPr>
              <w:pStyle w:val="NoSpacing"/>
              <w:ind w:left="720"/>
              <w:rPr>
                <w:szCs w:val="20"/>
              </w:rPr>
            </w:pPr>
          </w:p>
          <w:p w:rsidR="00B2793A" w:rsidRPr="00B2793A" w:rsidRDefault="00B2793A" w:rsidP="00B2793A">
            <w:pPr>
              <w:pStyle w:val="NoSpacing"/>
              <w:rPr>
                <w:b/>
                <w:szCs w:val="20"/>
              </w:rPr>
            </w:pPr>
            <w:r w:rsidRPr="00B2793A">
              <w:rPr>
                <w:b/>
                <w:szCs w:val="20"/>
              </w:rPr>
              <w:t xml:space="preserve"> The criteria used are below:</w:t>
            </w:r>
          </w:p>
          <w:p w:rsidR="00B2793A" w:rsidRPr="00B2793A" w:rsidRDefault="00B2793A" w:rsidP="00B2793A">
            <w:pPr>
              <w:pStyle w:val="NoSpacing"/>
              <w:numPr>
                <w:ilvl w:val="0"/>
                <w:numId w:val="15"/>
              </w:numPr>
              <w:rPr>
                <w:szCs w:val="20"/>
              </w:rPr>
            </w:pPr>
            <w:r w:rsidRPr="00B2793A">
              <w:rPr>
                <w:bCs/>
                <w:szCs w:val="20"/>
              </w:rPr>
              <w:t xml:space="preserve">Emission reduction potential </w:t>
            </w:r>
          </w:p>
          <w:p w:rsidR="00B2793A" w:rsidRPr="00B2793A" w:rsidRDefault="00B2793A" w:rsidP="00B2793A">
            <w:pPr>
              <w:pStyle w:val="NoSpacing"/>
              <w:numPr>
                <w:ilvl w:val="0"/>
                <w:numId w:val="15"/>
              </w:numPr>
              <w:rPr>
                <w:szCs w:val="20"/>
              </w:rPr>
            </w:pPr>
            <w:r w:rsidRPr="00B2793A">
              <w:rPr>
                <w:szCs w:val="20"/>
              </w:rPr>
              <w:t>Alignment of existing policies and programmes, ongoing processes and</w:t>
            </w:r>
          </w:p>
          <w:p w:rsidR="00B2793A" w:rsidRPr="00B2793A" w:rsidRDefault="00B2793A" w:rsidP="00B2793A">
            <w:pPr>
              <w:pStyle w:val="NoSpacing"/>
              <w:numPr>
                <w:ilvl w:val="0"/>
                <w:numId w:val="15"/>
              </w:numPr>
              <w:rPr>
                <w:szCs w:val="20"/>
              </w:rPr>
            </w:pPr>
            <w:r w:rsidRPr="00B2793A">
              <w:rPr>
                <w:szCs w:val="20"/>
              </w:rPr>
              <w:t>Must be contained in the list 55 NAMAs</w:t>
            </w:r>
          </w:p>
          <w:p w:rsidR="00B2793A" w:rsidRPr="00B2793A" w:rsidRDefault="00B2793A" w:rsidP="00B2793A">
            <w:pPr>
              <w:pStyle w:val="NoSpacing"/>
              <w:numPr>
                <w:ilvl w:val="0"/>
                <w:numId w:val="15"/>
              </w:numPr>
              <w:rPr>
                <w:szCs w:val="20"/>
              </w:rPr>
            </w:pPr>
            <w:r w:rsidRPr="00B2793A">
              <w:rPr>
                <w:bCs/>
                <w:szCs w:val="20"/>
              </w:rPr>
              <w:t xml:space="preserve">Acceptability of the selected NAMAs by the project actors/ beneficiaries.  </w:t>
            </w:r>
          </w:p>
          <w:p w:rsidR="00B2793A" w:rsidRPr="00B2793A" w:rsidRDefault="00B2793A" w:rsidP="00B2793A">
            <w:pPr>
              <w:pStyle w:val="NoSpacing"/>
              <w:numPr>
                <w:ilvl w:val="0"/>
                <w:numId w:val="15"/>
              </w:numPr>
              <w:rPr>
                <w:szCs w:val="20"/>
              </w:rPr>
            </w:pPr>
            <w:r w:rsidRPr="00B2793A">
              <w:rPr>
                <w:bCs/>
                <w:szCs w:val="20"/>
              </w:rPr>
              <w:t>Scalability – not start from ground zero</w:t>
            </w:r>
          </w:p>
          <w:p w:rsidR="00B2793A" w:rsidRPr="00B2793A" w:rsidRDefault="00B2793A" w:rsidP="00B2793A">
            <w:pPr>
              <w:pStyle w:val="NoSpacing"/>
              <w:numPr>
                <w:ilvl w:val="0"/>
                <w:numId w:val="15"/>
              </w:numPr>
              <w:rPr>
                <w:szCs w:val="20"/>
              </w:rPr>
            </w:pPr>
            <w:r w:rsidRPr="00B2793A">
              <w:rPr>
                <w:bCs/>
                <w:szCs w:val="20"/>
              </w:rPr>
              <w:t>Cost-effectiveness</w:t>
            </w:r>
          </w:p>
          <w:p w:rsidR="00B2793A" w:rsidRPr="00B2793A" w:rsidRDefault="00B2793A" w:rsidP="00B2793A">
            <w:pPr>
              <w:pStyle w:val="NoSpacing"/>
              <w:numPr>
                <w:ilvl w:val="0"/>
                <w:numId w:val="15"/>
              </w:numPr>
              <w:rPr>
                <w:szCs w:val="20"/>
              </w:rPr>
            </w:pPr>
            <w:r w:rsidRPr="00B2793A">
              <w:rPr>
                <w:bCs/>
                <w:szCs w:val="20"/>
              </w:rPr>
              <w:t xml:space="preserve">Technology potential </w:t>
            </w:r>
          </w:p>
          <w:p w:rsidR="00B2793A" w:rsidRPr="00B2793A" w:rsidRDefault="00B2793A" w:rsidP="00B2793A">
            <w:pPr>
              <w:pStyle w:val="NoSpacing"/>
              <w:numPr>
                <w:ilvl w:val="0"/>
                <w:numId w:val="15"/>
              </w:numPr>
              <w:rPr>
                <w:szCs w:val="20"/>
              </w:rPr>
            </w:pPr>
            <w:r w:rsidRPr="00B2793A">
              <w:rPr>
                <w:bCs/>
                <w:szCs w:val="20"/>
              </w:rPr>
              <w:t>Market feasibility</w:t>
            </w:r>
          </w:p>
          <w:p w:rsidR="00B2793A" w:rsidRPr="00B2793A" w:rsidRDefault="00B2793A" w:rsidP="00B2793A">
            <w:pPr>
              <w:pStyle w:val="NoSpacing"/>
              <w:numPr>
                <w:ilvl w:val="0"/>
                <w:numId w:val="15"/>
              </w:numPr>
              <w:rPr>
                <w:szCs w:val="20"/>
              </w:rPr>
            </w:pPr>
            <w:r w:rsidRPr="00B2793A">
              <w:rPr>
                <w:szCs w:val="20"/>
              </w:rPr>
              <w:t xml:space="preserve">Co-benefits (SD) </w:t>
            </w:r>
          </w:p>
          <w:p w:rsidR="00B2793A" w:rsidRPr="00B2793A" w:rsidRDefault="00B2793A" w:rsidP="00B2793A">
            <w:pPr>
              <w:pStyle w:val="NoSpacing"/>
              <w:numPr>
                <w:ilvl w:val="0"/>
                <w:numId w:val="15"/>
              </w:numPr>
              <w:rPr>
                <w:szCs w:val="20"/>
              </w:rPr>
            </w:pPr>
            <w:r w:rsidRPr="00B2793A">
              <w:rPr>
                <w:bCs/>
                <w:szCs w:val="20"/>
              </w:rPr>
              <w:t xml:space="preserve">Data availability </w:t>
            </w:r>
          </w:p>
          <w:p w:rsidR="00B2793A" w:rsidRPr="00B2793A" w:rsidRDefault="00B2793A" w:rsidP="00B2793A">
            <w:pPr>
              <w:pStyle w:val="NoSpacing"/>
              <w:numPr>
                <w:ilvl w:val="0"/>
                <w:numId w:val="15"/>
              </w:numPr>
              <w:rPr>
                <w:szCs w:val="20"/>
              </w:rPr>
            </w:pPr>
            <w:r w:rsidRPr="00B2793A">
              <w:rPr>
                <w:bCs/>
                <w:szCs w:val="20"/>
              </w:rPr>
              <w:t xml:space="preserve">Easy to implement or scale up </w:t>
            </w:r>
          </w:p>
          <w:p w:rsidR="00B2793A" w:rsidRPr="00B2793A" w:rsidRDefault="00B2793A" w:rsidP="00B2793A">
            <w:pPr>
              <w:pStyle w:val="NoSpacing"/>
              <w:numPr>
                <w:ilvl w:val="0"/>
                <w:numId w:val="15"/>
              </w:numPr>
              <w:rPr>
                <w:szCs w:val="20"/>
              </w:rPr>
            </w:pPr>
            <w:r w:rsidRPr="00B2793A">
              <w:rPr>
                <w:bCs/>
                <w:szCs w:val="20"/>
              </w:rPr>
              <w:t xml:space="preserve">Barriers </w:t>
            </w:r>
          </w:p>
          <w:p w:rsidR="00B2793A" w:rsidRPr="00B2793A" w:rsidRDefault="00B2793A" w:rsidP="00B2793A">
            <w:pPr>
              <w:pStyle w:val="NoSpacing"/>
              <w:rPr>
                <w:b/>
                <w:szCs w:val="20"/>
              </w:rPr>
            </w:pPr>
          </w:p>
          <w:p w:rsidR="00B2793A" w:rsidRPr="00B2793A" w:rsidRDefault="00B2793A" w:rsidP="00B2793A">
            <w:pPr>
              <w:pStyle w:val="NoSpacing"/>
              <w:rPr>
                <w:b/>
                <w:szCs w:val="20"/>
              </w:rPr>
            </w:pPr>
            <w:r w:rsidRPr="00B2793A">
              <w:rPr>
                <w:b/>
                <w:szCs w:val="20"/>
              </w:rPr>
              <w:t>5 NAMAs selected in order of priority:</w:t>
            </w:r>
          </w:p>
          <w:p w:rsidR="00B2793A" w:rsidRPr="00B2793A" w:rsidRDefault="00B2793A" w:rsidP="00B2793A">
            <w:pPr>
              <w:pStyle w:val="NoSpacing"/>
              <w:numPr>
                <w:ilvl w:val="0"/>
                <w:numId w:val="5"/>
              </w:numPr>
              <w:rPr>
                <w:bCs/>
                <w:szCs w:val="20"/>
              </w:rPr>
            </w:pPr>
            <w:r w:rsidRPr="00B2793A">
              <w:rPr>
                <w:bCs/>
                <w:szCs w:val="20"/>
              </w:rPr>
              <w:t xml:space="preserve">Promotion SMEs Participation Biogas Technology Penetration in Institutions  </w:t>
            </w:r>
          </w:p>
          <w:p w:rsidR="00B2793A" w:rsidRPr="00B2793A" w:rsidRDefault="00B2793A" w:rsidP="00B2793A">
            <w:pPr>
              <w:pStyle w:val="NoSpacing"/>
              <w:numPr>
                <w:ilvl w:val="0"/>
                <w:numId w:val="5"/>
              </w:numPr>
              <w:rPr>
                <w:bCs/>
                <w:szCs w:val="20"/>
              </w:rPr>
            </w:pPr>
            <w:r w:rsidRPr="00B2793A">
              <w:rPr>
                <w:bCs/>
                <w:szCs w:val="20"/>
              </w:rPr>
              <w:t>Household and commercial EE promotion programs (bundling approach)</w:t>
            </w:r>
          </w:p>
          <w:p w:rsidR="00B2793A" w:rsidRPr="00B2793A" w:rsidRDefault="00B2793A" w:rsidP="00B2793A">
            <w:pPr>
              <w:pStyle w:val="NoSpacing"/>
              <w:numPr>
                <w:ilvl w:val="0"/>
                <w:numId w:val="5"/>
              </w:numPr>
              <w:rPr>
                <w:bCs/>
                <w:szCs w:val="20"/>
              </w:rPr>
            </w:pPr>
            <w:r w:rsidRPr="00B2793A">
              <w:rPr>
                <w:bCs/>
                <w:szCs w:val="20"/>
              </w:rPr>
              <w:t xml:space="preserve">Incorporation of RE systems into households  and commercial activities (demand side) </w:t>
            </w:r>
          </w:p>
          <w:p w:rsidR="00B2793A" w:rsidRPr="00B2793A" w:rsidRDefault="00B2793A" w:rsidP="00B2793A">
            <w:pPr>
              <w:pStyle w:val="NoSpacing"/>
              <w:numPr>
                <w:ilvl w:val="0"/>
                <w:numId w:val="5"/>
              </w:numPr>
              <w:rPr>
                <w:bCs/>
                <w:szCs w:val="20"/>
              </w:rPr>
            </w:pPr>
            <w:r w:rsidRPr="00B2793A">
              <w:rPr>
                <w:bCs/>
                <w:szCs w:val="20"/>
              </w:rPr>
              <w:t>Establishment of market-based cleaner cooking solutions</w:t>
            </w:r>
          </w:p>
          <w:p w:rsidR="00B2793A" w:rsidRPr="00B2793A" w:rsidRDefault="00B2793A" w:rsidP="00B2793A">
            <w:pPr>
              <w:pStyle w:val="NoSpacing"/>
              <w:numPr>
                <w:ilvl w:val="0"/>
                <w:numId w:val="5"/>
              </w:numPr>
              <w:rPr>
                <w:bCs/>
                <w:szCs w:val="20"/>
              </w:rPr>
            </w:pPr>
            <w:r w:rsidRPr="00B2793A">
              <w:rPr>
                <w:bCs/>
                <w:szCs w:val="20"/>
              </w:rPr>
              <w:t xml:space="preserve">Off-grid electrification and access development </w:t>
            </w:r>
          </w:p>
          <w:p w:rsidR="00B2793A" w:rsidRPr="00B2793A" w:rsidRDefault="00B2793A" w:rsidP="00B2793A">
            <w:pPr>
              <w:pStyle w:val="NoSpacing"/>
              <w:rPr>
                <w:szCs w:val="20"/>
              </w:rPr>
            </w:pPr>
          </w:p>
          <w:p w:rsidR="00B2793A" w:rsidRPr="00B2793A" w:rsidRDefault="00B2793A" w:rsidP="00B2793A">
            <w:pPr>
              <w:pStyle w:val="NoSpacing"/>
              <w:rPr>
                <w:b/>
                <w:szCs w:val="20"/>
              </w:rPr>
            </w:pPr>
            <w:r w:rsidRPr="00B2793A">
              <w:rPr>
                <w:b/>
                <w:szCs w:val="20"/>
              </w:rPr>
              <w:t xml:space="preserve">What next </w:t>
            </w:r>
          </w:p>
          <w:p w:rsidR="00B2793A" w:rsidRPr="00B2793A" w:rsidRDefault="00B2793A" w:rsidP="00B2793A">
            <w:pPr>
              <w:pStyle w:val="NoSpacing"/>
              <w:numPr>
                <w:ilvl w:val="0"/>
                <w:numId w:val="16"/>
              </w:numPr>
              <w:jc w:val="both"/>
              <w:rPr>
                <w:b/>
                <w:szCs w:val="20"/>
              </w:rPr>
            </w:pPr>
            <w:r w:rsidRPr="00B2793A">
              <w:rPr>
                <w:b/>
                <w:szCs w:val="20"/>
              </w:rPr>
              <w:t xml:space="preserve">Workplan – </w:t>
            </w:r>
            <w:r w:rsidRPr="00B2793A">
              <w:rPr>
                <w:szCs w:val="20"/>
              </w:rPr>
              <w:t>3</w:t>
            </w:r>
            <w:r w:rsidRPr="00B2793A">
              <w:rPr>
                <w:b/>
                <w:szCs w:val="20"/>
              </w:rPr>
              <w:t xml:space="preserve"> </w:t>
            </w:r>
            <w:r w:rsidRPr="00B2793A">
              <w:rPr>
                <w:bCs/>
                <w:szCs w:val="20"/>
              </w:rPr>
              <w:t xml:space="preserve">activities will be done by the end of the year. Two activities will focus on doing the background information and the establishing the governance structure of the selected NAMAs. The papers that will emerge from the preliminary will be used as input in the “consultation meeting” will be </w:t>
            </w:r>
            <w:r w:rsidRPr="00B2793A">
              <w:rPr>
                <w:bCs/>
                <w:szCs w:val="20"/>
              </w:rPr>
              <w:t xml:space="preserve">held in  the first quarter of 2014. </w:t>
            </w:r>
            <w:r w:rsidRPr="00B2793A">
              <w:rPr>
                <w:bCs/>
                <w:szCs w:val="20"/>
              </w:rPr>
              <w:t xml:space="preserve"> </w:t>
            </w:r>
          </w:p>
          <w:p w:rsidR="00B2793A" w:rsidRPr="00B2793A" w:rsidRDefault="00B2793A" w:rsidP="00B2793A">
            <w:pPr>
              <w:pStyle w:val="NoSpacing"/>
              <w:numPr>
                <w:ilvl w:val="1"/>
                <w:numId w:val="16"/>
              </w:numPr>
              <w:jc w:val="both"/>
              <w:rPr>
                <w:bCs/>
                <w:szCs w:val="20"/>
              </w:rPr>
            </w:pPr>
            <w:r w:rsidRPr="00B2793A">
              <w:rPr>
                <w:bCs/>
                <w:szCs w:val="20"/>
              </w:rPr>
              <w:t xml:space="preserve">EPA was tasked to clean up the identified NAMAs and bounce it back to the members for comments. </w:t>
            </w:r>
          </w:p>
          <w:p w:rsidR="00B2793A" w:rsidRPr="00B2793A" w:rsidRDefault="00B2793A" w:rsidP="00B2793A">
            <w:pPr>
              <w:pStyle w:val="NoSpacing"/>
              <w:numPr>
                <w:ilvl w:val="1"/>
                <w:numId w:val="16"/>
              </w:numPr>
              <w:jc w:val="both"/>
              <w:rPr>
                <w:bCs/>
                <w:szCs w:val="20"/>
              </w:rPr>
            </w:pPr>
            <w:r w:rsidRPr="00B2793A">
              <w:rPr>
                <w:bCs/>
                <w:szCs w:val="20"/>
              </w:rPr>
              <w:t xml:space="preserve">EPA is to do the preliminary paper work on consultation meeting. This will include location, list of participants and the agenda of the meeting. Then the working group members will </w:t>
            </w:r>
            <w:r w:rsidRPr="00B2793A">
              <w:rPr>
                <w:bCs/>
                <w:szCs w:val="20"/>
              </w:rPr>
              <w:lastRenderedPageBreak/>
              <w:t xml:space="preserve">then review to provide input where necessary. Especially with respect to the list of participants, the members of the working group are expected to provide list of potential participants. </w:t>
            </w:r>
          </w:p>
          <w:p w:rsidR="00B2793A" w:rsidRPr="00B2793A" w:rsidRDefault="00B2793A" w:rsidP="00B2793A">
            <w:pPr>
              <w:pStyle w:val="NoSpacing"/>
              <w:ind w:left="1440"/>
              <w:jc w:val="both"/>
              <w:rPr>
                <w:bCs/>
                <w:szCs w:val="20"/>
              </w:rPr>
            </w:pPr>
          </w:p>
          <w:p w:rsidR="00B2793A" w:rsidRPr="00B2793A" w:rsidRDefault="00B2793A" w:rsidP="00B2793A">
            <w:pPr>
              <w:pStyle w:val="NoSpacing"/>
              <w:numPr>
                <w:ilvl w:val="1"/>
                <w:numId w:val="16"/>
              </w:numPr>
              <w:jc w:val="both"/>
              <w:rPr>
                <w:bCs/>
                <w:szCs w:val="20"/>
              </w:rPr>
            </w:pPr>
            <w:r w:rsidRPr="00B2793A">
              <w:rPr>
                <w:bCs/>
                <w:szCs w:val="20"/>
              </w:rPr>
              <w:t xml:space="preserve">With respect to the preparation of the background materials, energy commission was asked to lead and liaise with the consultants that will be selected to undertake the review policies and ongoing national processes that will be relevant for the selected NAMAs.  MESTI, EPA and ECG were tasked to lead and liaise with the selected consultants to do the background materials on the governance structure of the selected NAMAs. </w:t>
            </w:r>
          </w:p>
          <w:p w:rsidR="00B2793A" w:rsidRPr="00B2793A" w:rsidRDefault="00B2793A" w:rsidP="00B2793A">
            <w:pPr>
              <w:pStyle w:val="NoSpacing"/>
              <w:rPr>
                <w:szCs w:val="20"/>
              </w:rPr>
            </w:pPr>
          </w:p>
          <w:p w:rsidR="00B2793A" w:rsidRPr="00B2793A" w:rsidRDefault="00B2793A" w:rsidP="00B2793A">
            <w:pPr>
              <w:pStyle w:val="NoSpacing"/>
              <w:ind w:left="1440"/>
              <w:rPr>
                <w:szCs w:val="20"/>
              </w:rPr>
            </w:pPr>
            <w:r w:rsidRPr="00B2793A">
              <w:rPr>
                <w:b/>
                <w:bCs/>
                <w:szCs w:val="20"/>
              </w:rPr>
              <w:t>Prepared by Daniel Benefor</w:t>
            </w:r>
          </w:p>
          <w:p w:rsidR="00B2793A" w:rsidRPr="00B2793A" w:rsidRDefault="00B2793A" w:rsidP="00B2793A">
            <w:pPr>
              <w:pStyle w:val="NoSpacing"/>
              <w:ind w:left="3600" w:firstLine="720"/>
              <w:rPr>
                <w:szCs w:val="20"/>
              </w:rPr>
            </w:pPr>
            <w:r w:rsidRPr="00B2793A">
              <w:rPr>
                <w:szCs w:val="20"/>
              </w:rPr>
              <w:t>---END---</w:t>
            </w:r>
          </w:p>
          <w:p w:rsidR="00B2793A" w:rsidRPr="00B2793A" w:rsidRDefault="00B2793A" w:rsidP="00B2793A">
            <w:pPr>
              <w:rPr>
                <w:rFonts w:cs="Calibri"/>
                <w:lang w:val="en-GB"/>
              </w:rPr>
            </w:pPr>
          </w:p>
        </w:tc>
      </w:tr>
    </w:tbl>
    <w:p w:rsidR="00B2793A" w:rsidRDefault="00B2793A" w:rsidP="00B2793A">
      <w:pPr>
        <w:rPr>
          <w:rFonts w:cs="Calibri"/>
          <w:lang w:val="en-GB"/>
        </w:rPr>
      </w:pPr>
    </w:p>
    <w:p w:rsidR="00B2793A" w:rsidRDefault="00B2793A">
      <w:pPr>
        <w:rPr>
          <w:rFonts w:cs="Calibri"/>
          <w:lang w:val="en-GB"/>
        </w:rPr>
      </w:pPr>
      <w:r>
        <w:rPr>
          <w:rFonts w:cs="Calibri"/>
          <w:lang w:val="en-GB"/>
        </w:rPr>
        <w:br w:type="page"/>
      </w:r>
    </w:p>
    <w:p w:rsidR="00B2793A" w:rsidRPr="00B2793A" w:rsidRDefault="00B2793A" w:rsidP="00B2793A">
      <w:pPr>
        <w:rPr>
          <w:rFonts w:cs="Calibri"/>
          <w:b/>
          <w:lang w:val="en-GB"/>
        </w:rPr>
      </w:pPr>
      <w:r w:rsidRPr="00B2793A">
        <w:rPr>
          <w:rFonts w:cs="Calibri"/>
          <w:b/>
          <w:lang w:val="en-GB"/>
        </w:rPr>
        <w:lastRenderedPageBreak/>
        <w:t>Annex 2:</w:t>
      </w:r>
      <w:r w:rsidRPr="00B2793A">
        <w:rPr>
          <w:rFonts w:cs="Calibri"/>
          <w:b/>
          <w:lang w:val="en-GB"/>
        </w:rPr>
        <w:t xml:space="preserve"> Snapshots of the GHG online database design</w:t>
      </w:r>
    </w:p>
    <w:p w:rsidR="00B2793A" w:rsidRPr="002510D1" w:rsidRDefault="00B2793A" w:rsidP="00B2793A">
      <w:pPr>
        <w:rPr>
          <w:rFonts w:ascii="Times New Roman" w:hAnsi="Times New Roman"/>
        </w:rPr>
      </w:pPr>
      <w:r>
        <w:rPr>
          <w:rFonts w:ascii="Times New Roman" w:hAnsi="Times New Roman"/>
          <w:noProof/>
        </w:rPr>
        <w:drawing>
          <wp:inline distT="0" distB="0" distL="0" distR="0">
            <wp:extent cx="5181600" cy="2733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154"/>
                    <a:stretch/>
                  </pic:blipFill>
                  <pic:spPr bwMode="auto">
                    <a:xfrm>
                      <a:off x="0" y="0"/>
                      <a:ext cx="5187724" cy="2736906"/>
                    </a:xfrm>
                    <a:prstGeom prst="rect">
                      <a:avLst/>
                    </a:prstGeom>
                    <a:noFill/>
                    <a:ln>
                      <a:noFill/>
                    </a:ln>
                    <a:extLst>
                      <a:ext uri="{53640926-AAD7-44D8-BBD7-CCE9431645EC}">
                        <a14:shadowObscured xmlns:a14="http://schemas.microsoft.com/office/drawing/2010/main"/>
                      </a:ext>
                    </a:extLst>
                  </pic:spPr>
                </pic:pic>
              </a:graphicData>
            </a:graphic>
          </wp:inline>
        </w:drawing>
      </w:r>
    </w:p>
    <w:p w:rsidR="00B2793A" w:rsidRPr="00B2793A" w:rsidRDefault="00B2793A" w:rsidP="00B2793A">
      <w:pPr>
        <w:pStyle w:val="ListParagraph"/>
        <w:numPr>
          <w:ilvl w:val="0"/>
          <w:numId w:val="19"/>
        </w:numPr>
        <w:spacing w:after="200" w:line="276" w:lineRule="auto"/>
        <w:contextualSpacing/>
        <w:rPr>
          <w:rFonts w:ascii="Times New Roman" w:hAnsi="Times New Roman"/>
          <w:b/>
        </w:rPr>
      </w:pPr>
      <w:r w:rsidRPr="002510D1">
        <w:rPr>
          <w:rFonts w:ascii="Times New Roman" w:hAnsi="Times New Roman"/>
          <w:b/>
        </w:rPr>
        <w:t>Home Page</w:t>
      </w:r>
    </w:p>
    <w:p w:rsidR="00B2793A" w:rsidRPr="002510D1" w:rsidRDefault="00B2793A" w:rsidP="00B2793A">
      <w:pPr>
        <w:rPr>
          <w:rFonts w:ascii="Times New Roman" w:hAnsi="Times New Roman"/>
          <w:b/>
          <w:sz w:val="24"/>
          <w:szCs w:val="24"/>
        </w:rPr>
      </w:pPr>
      <w:r>
        <w:rPr>
          <w:rFonts w:ascii="Times New Roman" w:hAnsi="Times New Roman"/>
          <w:b/>
          <w:noProof/>
          <w:sz w:val="24"/>
          <w:szCs w:val="24"/>
        </w:rPr>
        <w:drawing>
          <wp:inline distT="0" distB="0" distL="0" distR="0">
            <wp:extent cx="5257800" cy="2676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98" b="7566"/>
                    <a:stretch/>
                  </pic:blipFill>
                  <pic:spPr bwMode="auto">
                    <a:xfrm>
                      <a:off x="0" y="0"/>
                      <a:ext cx="5268261" cy="2681850"/>
                    </a:xfrm>
                    <a:prstGeom prst="rect">
                      <a:avLst/>
                    </a:prstGeom>
                    <a:noFill/>
                    <a:ln>
                      <a:noFill/>
                    </a:ln>
                    <a:extLst>
                      <a:ext uri="{53640926-AAD7-44D8-BBD7-CCE9431645EC}">
                        <a14:shadowObscured xmlns:a14="http://schemas.microsoft.com/office/drawing/2010/main"/>
                      </a:ext>
                    </a:extLst>
                  </pic:spPr>
                </pic:pic>
              </a:graphicData>
            </a:graphic>
          </wp:inline>
        </w:drawing>
      </w:r>
    </w:p>
    <w:p w:rsidR="00B2793A" w:rsidRPr="002510D1" w:rsidRDefault="00B2793A" w:rsidP="00B2793A">
      <w:pPr>
        <w:pStyle w:val="ListParagraph"/>
        <w:numPr>
          <w:ilvl w:val="0"/>
          <w:numId w:val="19"/>
        </w:numPr>
        <w:spacing w:after="200" w:line="276" w:lineRule="auto"/>
        <w:contextualSpacing/>
        <w:rPr>
          <w:rFonts w:ascii="Times New Roman" w:hAnsi="Times New Roman"/>
          <w:b/>
        </w:rPr>
      </w:pPr>
      <w:r w:rsidRPr="002510D1">
        <w:rPr>
          <w:rFonts w:ascii="Times New Roman" w:hAnsi="Times New Roman"/>
          <w:b/>
        </w:rPr>
        <w:t>Search Page for Public</w:t>
      </w:r>
    </w:p>
    <w:p w:rsidR="00B2793A" w:rsidRPr="002510D1" w:rsidRDefault="00B2793A" w:rsidP="00B2793A">
      <w:pPr>
        <w:rPr>
          <w:rFonts w:ascii="Times New Roman" w:hAnsi="Times New Roman"/>
          <w:b/>
          <w:sz w:val="24"/>
          <w:szCs w:val="24"/>
        </w:rPr>
      </w:pPr>
    </w:p>
    <w:p w:rsidR="00B2793A" w:rsidRPr="002510D1" w:rsidRDefault="00B2793A" w:rsidP="00B2793A">
      <w:pPr>
        <w:rPr>
          <w:rFonts w:ascii="Times New Roman" w:hAnsi="Times New Roman"/>
          <w:b/>
          <w:sz w:val="24"/>
          <w:szCs w:val="24"/>
        </w:rPr>
      </w:pPr>
      <w:r>
        <w:rPr>
          <w:rFonts w:ascii="Times New Roman" w:hAnsi="Times New Roman"/>
          <w:b/>
          <w:noProof/>
          <w:sz w:val="24"/>
          <w:szCs w:val="24"/>
        </w:rPr>
        <w:lastRenderedPageBreak/>
        <w:drawing>
          <wp:inline distT="0" distB="0" distL="0" distR="0">
            <wp:extent cx="5219700" cy="2930564"/>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1779" cy="2931731"/>
                    </a:xfrm>
                    <a:prstGeom prst="rect">
                      <a:avLst/>
                    </a:prstGeom>
                    <a:noFill/>
                    <a:ln>
                      <a:noFill/>
                    </a:ln>
                  </pic:spPr>
                </pic:pic>
              </a:graphicData>
            </a:graphic>
          </wp:inline>
        </w:drawing>
      </w:r>
    </w:p>
    <w:p w:rsidR="00B2793A" w:rsidRPr="002510D1" w:rsidRDefault="00B2793A" w:rsidP="00B2793A">
      <w:pPr>
        <w:pStyle w:val="ListParagraph"/>
        <w:numPr>
          <w:ilvl w:val="0"/>
          <w:numId w:val="19"/>
        </w:numPr>
        <w:spacing w:after="200" w:line="276" w:lineRule="auto"/>
        <w:contextualSpacing/>
        <w:rPr>
          <w:rFonts w:ascii="Times New Roman" w:hAnsi="Times New Roman"/>
          <w:b/>
        </w:rPr>
      </w:pPr>
      <w:r w:rsidRPr="002510D1">
        <w:rPr>
          <w:rFonts w:ascii="Times New Roman" w:hAnsi="Times New Roman"/>
          <w:b/>
        </w:rPr>
        <w:t>Login Page</w:t>
      </w:r>
    </w:p>
    <w:p w:rsidR="00B2793A" w:rsidRPr="002510D1" w:rsidRDefault="00B2793A" w:rsidP="00B2793A">
      <w:pPr>
        <w:rPr>
          <w:rFonts w:ascii="Times New Roman" w:hAnsi="Times New Roman"/>
          <w:b/>
          <w:sz w:val="24"/>
          <w:szCs w:val="24"/>
        </w:rPr>
      </w:pPr>
      <w:r>
        <w:rPr>
          <w:rFonts w:ascii="Times New Roman" w:hAnsi="Times New Roman"/>
          <w:b/>
          <w:noProof/>
          <w:sz w:val="24"/>
          <w:szCs w:val="24"/>
        </w:rPr>
        <w:drawing>
          <wp:inline distT="0" distB="0" distL="0" distR="0">
            <wp:extent cx="5218386" cy="293426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7315" cy="2933663"/>
                    </a:xfrm>
                    <a:prstGeom prst="rect">
                      <a:avLst/>
                    </a:prstGeom>
                    <a:noFill/>
                    <a:ln>
                      <a:noFill/>
                    </a:ln>
                  </pic:spPr>
                </pic:pic>
              </a:graphicData>
            </a:graphic>
          </wp:inline>
        </w:drawing>
      </w:r>
    </w:p>
    <w:p w:rsidR="00B2793A" w:rsidRPr="002510D1" w:rsidRDefault="00B2793A" w:rsidP="00B2793A">
      <w:pPr>
        <w:pStyle w:val="ListParagraph"/>
        <w:numPr>
          <w:ilvl w:val="0"/>
          <w:numId w:val="19"/>
        </w:numPr>
        <w:spacing w:after="200" w:line="276" w:lineRule="auto"/>
        <w:contextualSpacing/>
        <w:rPr>
          <w:rFonts w:ascii="Times New Roman" w:hAnsi="Times New Roman"/>
          <w:b/>
        </w:rPr>
      </w:pPr>
      <w:r w:rsidRPr="002510D1">
        <w:rPr>
          <w:rFonts w:ascii="Times New Roman" w:hAnsi="Times New Roman"/>
          <w:b/>
        </w:rPr>
        <w:t>Main Page for Registered Users</w:t>
      </w:r>
    </w:p>
    <w:p w:rsidR="00B2793A" w:rsidRPr="002510D1" w:rsidRDefault="00B2793A" w:rsidP="00B2793A">
      <w:pPr>
        <w:jc w:val="center"/>
        <w:rPr>
          <w:rFonts w:ascii="Times New Roman" w:hAnsi="Times New Roman"/>
          <w:b/>
          <w:sz w:val="24"/>
          <w:szCs w:val="24"/>
          <w:u w:val="single"/>
        </w:rPr>
      </w:pPr>
    </w:p>
    <w:p w:rsidR="00B2793A" w:rsidRPr="002510D1" w:rsidRDefault="00B2793A" w:rsidP="00B2793A">
      <w:pPr>
        <w:jc w:val="center"/>
        <w:rPr>
          <w:rFonts w:ascii="Times New Roman" w:hAnsi="Times New Roman"/>
          <w:b/>
          <w:sz w:val="24"/>
          <w:szCs w:val="24"/>
          <w:u w:val="single"/>
        </w:rPr>
      </w:pPr>
    </w:p>
    <w:p w:rsidR="00B2793A" w:rsidRPr="002510D1" w:rsidRDefault="00B2793A" w:rsidP="00B2793A">
      <w:pPr>
        <w:jc w:val="center"/>
        <w:rPr>
          <w:rFonts w:ascii="Times New Roman" w:hAnsi="Times New Roman"/>
          <w:b/>
          <w:sz w:val="24"/>
          <w:szCs w:val="24"/>
          <w:u w:val="single"/>
        </w:rPr>
      </w:pPr>
    </w:p>
    <w:p w:rsidR="00B2793A" w:rsidRPr="002510D1" w:rsidRDefault="00B2793A" w:rsidP="00B2793A">
      <w:pPr>
        <w:jc w:val="center"/>
        <w:rPr>
          <w:rFonts w:ascii="Times New Roman" w:hAnsi="Times New Roman"/>
          <w:b/>
          <w:sz w:val="24"/>
          <w:szCs w:val="24"/>
          <w:u w:val="single"/>
        </w:rPr>
      </w:pPr>
    </w:p>
    <w:p w:rsidR="00B2793A" w:rsidRPr="002510D1" w:rsidRDefault="00B2793A" w:rsidP="00B2793A">
      <w:pPr>
        <w:jc w:val="center"/>
        <w:rPr>
          <w:rFonts w:ascii="Times New Roman" w:hAnsi="Times New Roman"/>
          <w:b/>
          <w:sz w:val="24"/>
          <w:szCs w:val="24"/>
          <w:u w:val="single"/>
        </w:rPr>
      </w:pPr>
    </w:p>
    <w:p w:rsidR="00B2793A" w:rsidRPr="002510D1" w:rsidRDefault="00B2793A" w:rsidP="00B2793A">
      <w:pPr>
        <w:jc w:val="center"/>
        <w:rPr>
          <w:rFonts w:ascii="Times New Roman" w:hAnsi="Times New Roman"/>
          <w:b/>
          <w:sz w:val="24"/>
          <w:szCs w:val="24"/>
          <w:u w:val="single"/>
        </w:rPr>
      </w:pPr>
      <w:r>
        <w:rPr>
          <w:rFonts w:ascii="Times New Roman" w:hAnsi="Times New Roman"/>
          <w:b/>
          <w:noProof/>
          <w:sz w:val="24"/>
          <w:szCs w:val="24"/>
        </w:rPr>
        <w:drawing>
          <wp:inline distT="0" distB="0" distL="0" distR="0">
            <wp:extent cx="6447013" cy="3342290"/>
            <wp:effectExtent l="0" t="0" r="0" b="0"/>
            <wp:docPr id="7" name="Picture 7" descr="Description: up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plo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4945" cy="3346402"/>
                    </a:xfrm>
                    <a:prstGeom prst="rect">
                      <a:avLst/>
                    </a:prstGeom>
                    <a:noFill/>
                    <a:ln>
                      <a:noFill/>
                    </a:ln>
                  </pic:spPr>
                </pic:pic>
              </a:graphicData>
            </a:graphic>
          </wp:inline>
        </w:drawing>
      </w:r>
    </w:p>
    <w:p w:rsidR="00B2793A" w:rsidRPr="00196A8C" w:rsidRDefault="00B2793A" w:rsidP="00196A8C">
      <w:pPr>
        <w:pStyle w:val="ListParagraph"/>
        <w:numPr>
          <w:ilvl w:val="0"/>
          <w:numId w:val="19"/>
        </w:numPr>
        <w:spacing w:after="200" w:line="276" w:lineRule="auto"/>
        <w:contextualSpacing/>
        <w:rPr>
          <w:rFonts w:ascii="Times New Roman" w:hAnsi="Times New Roman"/>
          <w:b/>
        </w:rPr>
      </w:pPr>
      <w:r w:rsidRPr="002510D1">
        <w:rPr>
          <w:rFonts w:ascii="Times New Roman" w:hAnsi="Times New Roman"/>
          <w:b/>
        </w:rPr>
        <w:t xml:space="preserve">Upload </w:t>
      </w:r>
      <w:r w:rsidR="00196A8C">
        <w:rPr>
          <w:rFonts w:ascii="Times New Roman" w:hAnsi="Times New Roman"/>
          <w:b/>
        </w:rPr>
        <w:t>Page showing Groups with Sector</w:t>
      </w:r>
    </w:p>
    <w:p w:rsidR="00B2793A" w:rsidRPr="002510D1" w:rsidRDefault="00B2793A" w:rsidP="00B2793A">
      <w:pPr>
        <w:jc w:val="center"/>
        <w:rPr>
          <w:rFonts w:ascii="Times New Roman" w:hAnsi="Times New Roman"/>
          <w:b/>
          <w:sz w:val="24"/>
          <w:szCs w:val="24"/>
          <w:u w:val="single"/>
        </w:rPr>
      </w:pPr>
      <w:r>
        <w:rPr>
          <w:rFonts w:ascii="Times New Roman" w:hAnsi="Times New Roman"/>
          <w:b/>
          <w:noProof/>
          <w:sz w:val="24"/>
          <w:szCs w:val="24"/>
        </w:rPr>
        <w:drawing>
          <wp:inline distT="0" distB="0" distL="0" distR="0">
            <wp:extent cx="6111888" cy="3166399"/>
            <wp:effectExtent l="0" t="0" r="3175" b="0"/>
            <wp:docPr id="1" name="Picture 1" descr="Description: 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0606" cy="3176096"/>
                    </a:xfrm>
                    <a:prstGeom prst="rect">
                      <a:avLst/>
                    </a:prstGeom>
                    <a:noFill/>
                    <a:ln>
                      <a:noFill/>
                    </a:ln>
                  </pic:spPr>
                </pic:pic>
              </a:graphicData>
            </a:graphic>
          </wp:inline>
        </w:drawing>
      </w:r>
    </w:p>
    <w:p w:rsidR="00B2793A" w:rsidRPr="00517602" w:rsidRDefault="00B2793A" w:rsidP="00B2793A">
      <w:pPr>
        <w:pStyle w:val="ListParagraph"/>
        <w:numPr>
          <w:ilvl w:val="0"/>
          <w:numId w:val="19"/>
        </w:numPr>
        <w:spacing w:after="200" w:line="276" w:lineRule="auto"/>
        <w:contextualSpacing/>
        <w:rPr>
          <w:rFonts w:ascii="Times New Roman" w:hAnsi="Times New Roman"/>
          <w:b/>
        </w:rPr>
      </w:pPr>
      <w:r w:rsidRPr="002510D1">
        <w:rPr>
          <w:rFonts w:ascii="Times New Roman" w:hAnsi="Times New Roman"/>
          <w:b/>
        </w:rPr>
        <w:t xml:space="preserve">Primary Data Entry Page </w:t>
      </w:r>
    </w:p>
    <w:p w:rsidR="00196A8C" w:rsidRPr="00B2793A" w:rsidRDefault="00196A8C" w:rsidP="00B2793A">
      <w:pPr>
        <w:rPr>
          <w:rFonts w:cs="Calibri"/>
          <w:lang w:val="en-GB"/>
        </w:rPr>
      </w:pPr>
      <w:bookmarkStart w:id="0" w:name="_GoBack"/>
      <w:bookmarkEnd w:id="0"/>
    </w:p>
    <w:sectPr w:rsidR="00196A8C" w:rsidRPr="00B2793A" w:rsidSect="004A2274">
      <w:headerReference w:type="defaul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EA" w:rsidRDefault="00DF12EA" w:rsidP="00F118F4">
      <w:pPr>
        <w:spacing w:after="0" w:line="240" w:lineRule="auto"/>
      </w:pPr>
      <w:r>
        <w:separator/>
      </w:r>
    </w:p>
  </w:endnote>
  <w:endnote w:type="continuationSeparator" w:id="0">
    <w:p w:rsidR="00DF12EA" w:rsidRDefault="00DF12EA" w:rsidP="00F1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EA" w:rsidRDefault="00DF12EA" w:rsidP="00F118F4">
      <w:pPr>
        <w:spacing w:after="0" w:line="240" w:lineRule="auto"/>
      </w:pPr>
      <w:r>
        <w:separator/>
      </w:r>
    </w:p>
  </w:footnote>
  <w:footnote w:type="continuationSeparator" w:id="0">
    <w:p w:rsidR="00DF12EA" w:rsidRDefault="00DF12EA" w:rsidP="00F11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17D5" w:rsidTr="006F331F">
      <w:tc>
        <w:tcPr>
          <w:tcW w:w="4788" w:type="dxa"/>
        </w:tcPr>
        <w:p w:rsidR="00FD17D5" w:rsidRDefault="00FD17D5" w:rsidP="006F331F">
          <w:pPr>
            <w:pStyle w:val="Header"/>
            <w:rPr>
              <w:b/>
              <w:bCs/>
            </w:rPr>
          </w:pPr>
          <w:r>
            <w:rPr>
              <w:noProof/>
            </w:rPr>
            <w:drawing>
              <wp:inline distT="0" distB="0" distL="0" distR="0" wp14:anchorId="4BC19D29" wp14:editId="5DB71B83">
                <wp:extent cx="2080260" cy="5292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B full Logo.jpg"/>
                        <pic:cNvPicPr/>
                      </pic:nvPicPr>
                      <pic:blipFill>
                        <a:blip r:embed="rId1">
                          <a:extLst>
                            <a:ext uri="{28A0092B-C50C-407E-A947-70E740481C1C}">
                              <a14:useLocalDpi xmlns:a14="http://schemas.microsoft.com/office/drawing/2010/main" val="0"/>
                            </a:ext>
                          </a:extLst>
                        </a:blip>
                        <a:stretch>
                          <a:fillRect/>
                        </a:stretch>
                      </pic:blipFill>
                      <pic:spPr>
                        <a:xfrm>
                          <a:off x="0" y="0"/>
                          <a:ext cx="2084204" cy="530228"/>
                        </a:xfrm>
                        <a:prstGeom prst="rect">
                          <a:avLst/>
                        </a:prstGeom>
                      </pic:spPr>
                    </pic:pic>
                  </a:graphicData>
                </a:graphic>
              </wp:inline>
            </w:drawing>
          </w:r>
        </w:p>
      </w:tc>
      <w:tc>
        <w:tcPr>
          <w:tcW w:w="4788" w:type="dxa"/>
        </w:tcPr>
        <w:p w:rsidR="00FD17D5" w:rsidRDefault="00FD17D5" w:rsidP="006F331F">
          <w:pPr>
            <w:pStyle w:val="Header"/>
            <w:jc w:val="right"/>
            <w:rPr>
              <w:b/>
              <w:bCs/>
            </w:rPr>
          </w:pPr>
          <w:r>
            <w:rPr>
              <w:b/>
              <w:bCs/>
              <w:noProof/>
            </w:rPr>
            <w:drawing>
              <wp:inline distT="0" distB="0" distL="0" distR="0" wp14:anchorId="54A766D3" wp14:editId="35209E9F">
                <wp:extent cx="307104" cy="629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2">
                          <a:extLst>
                            <a:ext uri="{28A0092B-C50C-407E-A947-70E740481C1C}">
                              <a14:useLocalDpi xmlns:a14="http://schemas.microsoft.com/office/drawing/2010/main" val="0"/>
                            </a:ext>
                          </a:extLst>
                        </a:blip>
                        <a:stretch>
                          <a:fillRect/>
                        </a:stretch>
                      </pic:blipFill>
                      <pic:spPr>
                        <a:xfrm>
                          <a:off x="0" y="0"/>
                          <a:ext cx="307224" cy="629929"/>
                        </a:xfrm>
                        <a:prstGeom prst="rect">
                          <a:avLst/>
                        </a:prstGeom>
                      </pic:spPr>
                    </pic:pic>
                  </a:graphicData>
                </a:graphic>
              </wp:inline>
            </w:drawing>
          </w:r>
        </w:p>
      </w:tc>
    </w:tr>
  </w:tbl>
  <w:p w:rsidR="00F118F4" w:rsidRDefault="00F118F4" w:rsidP="00FD1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3BE6"/>
    <w:multiLevelType w:val="hybridMultilevel"/>
    <w:tmpl w:val="AC862098"/>
    <w:lvl w:ilvl="0" w:tplc="CB7606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93B7A"/>
    <w:multiLevelType w:val="hybridMultilevel"/>
    <w:tmpl w:val="CBDE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93B4C"/>
    <w:multiLevelType w:val="hybridMultilevel"/>
    <w:tmpl w:val="3342BA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601224E4" w:tentative="1">
      <w:start w:val="1"/>
      <w:numFmt w:val="bullet"/>
      <w:lvlText w:val="•"/>
      <w:lvlJc w:val="left"/>
      <w:pPr>
        <w:tabs>
          <w:tab w:val="num" w:pos="2160"/>
        </w:tabs>
        <w:ind w:left="2160" w:hanging="360"/>
      </w:pPr>
      <w:rPr>
        <w:rFonts w:ascii="Arial" w:hAnsi="Arial" w:hint="default"/>
      </w:rPr>
    </w:lvl>
    <w:lvl w:ilvl="3" w:tplc="C298D274" w:tentative="1">
      <w:start w:val="1"/>
      <w:numFmt w:val="bullet"/>
      <w:lvlText w:val="•"/>
      <w:lvlJc w:val="left"/>
      <w:pPr>
        <w:tabs>
          <w:tab w:val="num" w:pos="2880"/>
        </w:tabs>
        <w:ind w:left="2880" w:hanging="360"/>
      </w:pPr>
      <w:rPr>
        <w:rFonts w:ascii="Arial" w:hAnsi="Arial" w:hint="default"/>
      </w:rPr>
    </w:lvl>
    <w:lvl w:ilvl="4" w:tplc="50F67116" w:tentative="1">
      <w:start w:val="1"/>
      <w:numFmt w:val="bullet"/>
      <w:lvlText w:val="•"/>
      <w:lvlJc w:val="left"/>
      <w:pPr>
        <w:tabs>
          <w:tab w:val="num" w:pos="3600"/>
        </w:tabs>
        <w:ind w:left="3600" w:hanging="360"/>
      </w:pPr>
      <w:rPr>
        <w:rFonts w:ascii="Arial" w:hAnsi="Arial" w:hint="default"/>
      </w:rPr>
    </w:lvl>
    <w:lvl w:ilvl="5" w:tplc="CD523824" w:tentative="1">
      <w:start w:val="1"/>
      <w:numFmt w:val="bullet"/>
      <w:lvlText w:val="•"/>
      <w:lvlJc w:val="left"/>
      <w:pPr>
        <w:tabs>
          <w:tab w:val="num" w:pos="4320"/>
        </w:tabs>
        <w:ind w:left="4320" w:hanging="360"/>
      </w:pPr>
      <w:rPr>
        <w:rFonts w:ascii="Arial" w:hAnsi="Arial" w:hint="default"/>
      </w:rPr>
    </w:lvl>
    <w:lvl w:ilvl="6" w:tplc="4A6C9D0A" w:tentative="1">
      <w:start w:val="1"/>
      <w:numFmt w:val="bullet"/>
      <w:lvlText w:val="•"/>
      <w:lvlJc w:val="left"/>
      <w:pPr>
        <w:tabs>
          <w:tab w:val="num" w:pos="5040"/>
        </w:tabs>
        <w:ind w:left="5040" w:hanging="360"/>
      </w:pPr>
      <w:rPr>
        <w:rFonts w:ascii="Arial" w:hAnsi="Arial" w:hint="default"/>
      </w:rPr>
    </w:lvl>
    <w:lvl w:ilvl="7" w:tplc="F7E6B7EC" w:tentative="1">
      <w:start w:val="1"/>
      <w:numFmt w:val="bullet"/>
      <w:lvlText w:val="•"/>
      <w:lvlJc w:val="left"/>
      <w:pPr>
        <w:tabs>
          <w:tab w:val="num" w:pos="5760"/>
        </w:tabs>
        <w:ind w:left="5760" w:hanging="360"/>
      </w:pPr>
      <w:rPr>
        <w:rFonts w:ascii="Arial" w:hAnsi="Arial" w:hint="default"/>
      </w:rPr>
    </w:lvl>
    <w:lvl w:ilvl="8" w:tplc="4638587E" w:tentative="1">
      <w:start w:val="1"/>
      <w:numFmt w:val="bullet"/>
      <w:lvlText w:val="•"/>
      <w:lvlJc w:val="left"/>
      <w:pPr>
        <w:tabs>
          <w:tab w:val="num" w:pos="6480"/>
        </w:tabs>
        <w:ind w:left="6480" w:hanging="360"/>
      </w:pPr>
      <w:rPr>
        <w:rFonts w:ascii="Arial" w:hAnsi="Arial" w:hint="default"/>
      </w:rPr>
    </w:lvl>
  </w:abstractNum>
  <w:abstractNum w:abstractNumId="3">
    <w:nsid w:val="2F4C3991"/>
    <w:multiLevelType w:val="hybridMultilevel"/>
    <w:tmpl w:val="6D04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D467E"/>
    <w:multiLevelType w:val="hybridMultilevel"/>
    <w:tmpl w:val="7C1A91C6"/>
    <w:lvl w:ilvl="0" w:tplc="EDB84E48">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521C8"/>
    <w:multiLevelType w:val="hybridMultilevel"/>
    <w:tmpl w:val="6140596C"/>
    <w:lvl w:ilvl="0" w:tplc="6164B7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24503"/>
    <w:multiLevelType w:val="hybridMultilevel"/>
    <w:tmpl w:val="9D54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66CC9"/>
    <w:multiLevelType w:val="hybridMultilevel"/>
    <w:tmpl w:val="6A42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F0837"/>
    <w:multiLevelType w:val="hybridMultilevel"/>
    <w:tmpl w:val="AC0A89C0"/>
    <w:lvl w:ilvl="0" w:tplc="F6BE6A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A0615"/>
    <w:multiLevelType w:val="hybridMultilevel"/>
    <w:tmpl w:val="EA0ED4C2"/>
    <w:lvl w:ilvl="0" w:tplc="92706340">
      <w:start w:val="1"/>
      <w:numFmt w:val="bullet"/>
      <w:lvlText w:val="•"/>
      <w:lvlJc w:val="left"/>
      <w:pPr>
        <w:tabs>
          <w:tab w:val="num" w:pos="720"/>
        </w:tabs>
        <w:ind w:left="720" w:hanging="360"/>
      </w:pPr>
      <w:rPr>
        <w:rFonts w:ascii="Arial" w:hAnsi="Arial" w:hint="default"/>
      </w:rPr>
    </w:lvl>
    <w:lvl w:ilvl="1" w:tplc="E8FE1D5A" w:tentative="1">
      <w:start w:val="1"/>
      <w:numFmt w:val="bullet"/>
      <w:lvlText w:val="•"/>
      <w:lvlJc w:val="left"/>
      <w:pPr>
        <w:tabs>
          <w:tab w:val="num" w:pos="1440"/>
        </w:tabs>
        <w:ind w:left="1440" w:hanging="360"/>
      </w:pPr>
      <w:rPr>
        <w:rFonts w:ascii="Arial" w:hAnsi="Arial" w:hint="default"/>
      </w:rPr>
    </w:lvl>
    <w:lvl w:ilvl="2" w:tplc="86DC0ABE" w:tentative="1">
      <w:start w:val="1"/>
      <w:numFmt w:val="bullet"/>
      <w:lvlText w:val="•"/>
      <w:lvlJc w:val="left"/>
      <w:pPr>
        <w:tabs>
          <w:tab w:val="num" w:pos="2160"/>
        </w:tabs>
        <w:ind w:left="2160" w:hanging="360"/>
      </w:pPr>
      <w:rPr>
        <w:rFonts w:ascii="Arial" w:hAnsi="Arial" w:hint="default"/>
      </w:rPr>
    </w:lvl>
    <w:lvl w:ilvl="3" w:tplc="738EA572" w:tentative="1">
      <w:start w:val="1"/>
      <w:numFmt w:val="bullet"/>
      <w:lvlText w:val="•"/>
      <w:lvlJc w:val="left"/>
      <w:pPr>
        <w:tabs>
          <w:tab w:val="num" w:pos="2880"/>
        </w:tabs>
        <w:ind w:left="2880" w:hanging="360"/>
      </w:pPr>
      <w:rPr>
        <w:rFonts w:ascii="Arial" w:hAnsi="Arial" w:hint="default"/>
      </w:rPr>
    </w:lvl>
    <w:lvl w:ilvl="4" w:tplc="874CF95E" w:tentative="1">
      <w:start w:val="1"/>
      <w:numFmt w:val="bullet"/>
      <w:lvlText w:val="•"/>
      <w:lvlJc w:val="left"/>
      <w:pPr>
        <w:tabs>
          <w:tab w:val="num" w:pos="3600"/>
        </w:tabs>
        <w:ind w:left="3600" w:hanging="360"/>
      </w:pPr>
      <w:rPr>
        <w:rFonts w:ascii="Arial" w:hAnsi="Arial" w:hint="default"/>
      </w:rPr>
    </w:lvl>
    <w:lvl w:ilvl="5" w:tplc="1FB4BD80" w:tentative="1">
      <w:start w:val="1"/>
      <w:numFmt w:val="bullet"/>
      <w:lvlText w:val="•"/>
      <w:lvlJc w:val="left"/>
      <w:pPr>
        <w:tabs>
          <w:tab w:val="num" w:pos="4320"/>
        </w:tabs>
        <w:ind w:left="4320" w:hanging="360"/>
      </w:pPr>
      <w:rPr>
        <w:rFonts w:ascii="Arial" w:hAnsi="Arial" w:hint="default"/>
      </w:rPr>
    </w:lvl>
    <w:lvl w:ilvl="6" w:tplc="653C4D44" w:tentative="1">
      <w:start w:val="1"/>
      <w:numFmt w:val="bullet"/>
      <w:lvlText w:val="•"/>
      <w:lvlJc w:val="left"/>
      <w:pPr>
        <w:tabs>
          <w:tab w:val="num" w:pos="5040"/>
        </w:tabs>
        <w:ind w:left="5040" w:hanging="360"/>
      </w:pPr>
      <w:rPr>
        <w:rFonts w:ascii="Arial" w:hAnsi="Arial" w:hint="default"/>
      </w:rPr>
    </w:lvl>
    <w:lvl w:ilvl="7" w:tplc="7E88B1E8" w:tentative="1">
      <w:start w:val="1"/>
      <w:numFmt w:val="bullet"/>
      <w:lvlText w:val="•"/>
      <w:lvlJc w:val="left"/>
      <w:pPr>
        <w:tabs>
          <w:tab w:val="num" w:pos="5760"/>
        </w:tabs>
        <w:ind w:left="5760" w:hanging="360"/>
      </w:pPr>
      <w:rPr>
        <w:rFonts w:ascii="Arial" w:hAnsi="Arial" w:hint="default"/>
      </w:rPr>
    </w:lvl>
    <w:lvl w:ilvl="8" w:tplc="80E42558" w:tentative="1">
      <w:start w:val="1"/>
      <w:numFmt w:val="bullet"/>
      <w:lvlText w:val="•"/>
      <w:lvlJc w:val="left"/>
      <w:pPr>
        <w:tabs>
          <w:tab w:val="num" w:pos="6480"/>
        </w:tabs>
        <w:ind w:left="6480" w:hanging="360"/>
      </w:pPr>
      <w:rPr>
        <w:rFonts w:ascii="Arial" w:hAnsi="Arial" w:hint="default"/>
      </w:rPr>
    </w:lvl>
  </w:abstractNum>
  <w:abstractNum w:abstractNumId="10">
    <w:nsid w:val="56647F52"/>
    <w:multiLevelType w:val="hybridMultilevel"/>
    <w:tmpl w:val="76A873BC"/>
    <w:lvl w:ilvl="0" w:tplc="CB7606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8475B"/>
    <w:multiLevelType w:val="hybridMultilevel"/>
    <w:tmpl w:val="62CCC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B3A67"/>
    <w:multiLevelType w:val="hybridMultilevel"/>
    <w:tmpl w:val="772C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E6EAA"/>
    <w:multiLevelType w:val="hybridMultilevel"/>
    <w:tmpl w:val="CBE00754"/>
    <w:lvl w:ilvl="0" w:tplc="C23277FC">
      <w:start w:val="1"/>
      <w:numFmt w:val="bullet"/>
      <w:lvlText w:val=""/>
      <w:lvlJc w:val="left"/>
      <w:pPr>
        <w:ind w:left="1440" w:hanging="360"/>
      </w:pPr>
      <w:rPr>
        <w:rFonts w:ascii="Symbol" w:hAnsi="Symbol"/>
      </w:rPr>
    </w:lvl>
    <w:lvl w:ilvl="1" w:tplc="672A37E6">
      <w:start w:val="1"/>
      <w:numFmt w:val="bullet"/>
      <w:lvlText w:val="o"/>
      <w:lvlJc w:val="left"/>
      <w:pPr>
        <w:ind w:left="2160" w:hanging="360"/>
      </w:pPr>
      <w:rPr>
        <w:rFonts w:ascii="Courier New" w:hAnsi="Courier New"/>
      </w:rPr>
    </w:lvl>
    <w:lvl w:ilvl="2" w:tplc="BC0CB07E">
      <w:start w:val="1"/>
      <w:numFmt w:val="bullet"/>
      <w:lvlText w:val=""/>
      <w:lvlJc w:val="left"/>
      <w:pPr>
        <w:ind w:left="2880" w:hanging="360"/>
      </w:pPr>
      <w:rPr>
        <w:rFonts w:ascii="Wingdings" w:hAnsi="Wingdings"/>
      </w:rPr>
    </w:lvl>
    <w:lvl w:ilvl="3" w:tplc="4A04F1AA">
      <w:start w:val="1"/>
      <w:numFmt w:val="bullet"/>
      <w:lvlText w:val=""/>
      <w:lvlJc w:val="left"/>
      <w:pPr>
        <w:ind w:left="3600" w:hanging="360"/>
      </w:pPr>
      <w:rPr>
        <w:rFonts w:ascii="Symbol" w:hAnsi="Symbol"/>
      </w:rPr>
    </w:lvl>
    <w:lvl w:ilvl="4" w:tplc="8B0EFB28">
      <w:start w:val="1"/>
      <w:numFmt w:val="bullet"/>
      <w:lvlText w:val="o"/>
      <w:lvlJc w:val="left"/>
      <w:pPr>
        <w:ind w:left="4320" w:hanging="360"/>
      </w:pPr>
      <w:rPr>
        <w:rFonts w:ascii="Courier New" w:hAnsi="Courier New"/>
      </w:rPr>
    </w:lvl>
    <w:lvl w:ilvl="5" w:tplc="AF8296F0">
      <w:start w:val="1"/>
      <w:numFmt w:val="bullet"/>
      <w:lvlText w:val=""/>
      <w:lvlJc w:val="left"/>
      <w:pPr>
        <w:ind w:left="5040" w:hanging="360"/>
      </w:pPr>
      <w:rPr>
        <w:rFonts w:ascii="Wingdings" w:hAnsi="Wingdings"/>
      </w:rPr>
    </w:lvl>
    <w:lvl w:ilvl="6" w:tplc="1F66018E">
      <w:start w:val="1"/>
      <w:numFmt w:val="bullet"/>
      <w:lvlText w:val=""/>
      <w:lvlJc w:val="left"/>
      <w:pPr>
        <w:ind w:left="5760" w:hanging="360"/>
      </w:pPr>
      <w:rPr>
        <w:rFonts w:ascii="Symbol" w:hAnsi="Symbol"/>
      </w:rPr>
    </w:lvl>
    <w:lvl w:ilvl="7" w:tplc="065C4E64">
      <w:start w:val="1"/>
      <w:numFmt w:val="bullet"/>
      <w:lvlText w:val="o"/>
      <w:lvlJc w:val="left"/>
      <w:pPr>
        <w:ind w:left="6480" w:hanging="360"/>
      </w:pPr>
      <w:rPr>
        <w:rFonts w:ascii="Courier New" w:hAnsi="Courier New"/>
      </w:rPr>
    </w:lvl>
    <w:lvl w:ilvl="8" w:tplc="A9C4788A">
      <w:start w:val="1"/>
      <w:numFmt w:val="bullet"/>
      <w:lvlText w:val=""/>
      <w:lvlJc w:val="left"/>
      <w:pPr>
        <w:ind w:left="7200" w:hanging="360"/>
      </w:pPr>
      <w:rPr>
        <w:rFonts w:ascii="Wingdings" w:hAnsi="Wingdings"/>
      </w:rPr>
    </w:lvl>
  </w:abstractNum>
  <w:abstractNum w:abstractNumId="14">
    <w:nsid w:val="68DE51F5"/>
    <w:multiLevelType w:val="hybridMultilevel"/>
    <w:tmpl w:val="B0C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D245A"/>
    <w:multiLevelType w:val="hybridMultilevel"/>
    <w:tmpl w:val="9D6CB5C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6">
    <w:nsid w:val="76904C96"/>
    <w:multiLevelType w:val="hybridMultilevel"/>
    <w:tmpl w:val="B4A4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A58C7"/>
    <w:multiLevelType w:val="hybridMultilevel"/>
    <w:tmpl w:val="E3D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53D6B"/>
    <w:multiLevelType w:val="hybridMultilevel"/>
    <w:tmpl w:val="D7427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7"/>
  </w:num>
  <w:num w:numId="3">
    <w:abstractNumId w:val="13"/>
  </w:num>
  <w:num w:numId="4">
    <w:abstractNumId w:val="6"/>
  </w:num>
  <w:num w:numId="5">
    <w:abstractNumId w:val="0"/>
  </w:num>
  <w:num w:numId="6">
    <w:abstractNumId w:val="12"/>
  </w:num>
  <w:num w:numId="7">
    <w:abstractNumId w:val="7"/>
  </w:num>
  <w:num w:numId="8">
    <w:abstractNumId w:val="1"/>
  </w:num>
  <w:num w:numId="9">
    <w:abstractNumId w:val="3"/>
  </w:num>
  <w:num w:numId="10">
    <w:abstractNumId w:val="11"/>
  </w:num>
  <w:num w:numId="11">
    <w:abstractNumId w:val="8"/>
  </w:num>
  <w:num w:numId="12">
    <w:abstractNumId w:val="2"/>
  </w:num>
  <w:num w:numId="13">
    <w:abstractNumId w:val="18"/>
  </w:num>
  <w:num w:numId="14">
    <w:abstractNumId w:val="14"/>
  </w:num>
  <w:num w:numId="15">
    <w:abstractNumId w:val="9"/>
  </w:num>
  <w:num w:numId="16">
    <w:abstractNumId w:val="10"/>
  </w:num>
  <w:num w:numId="17">
    <w:abstractNumId w:val="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2C"/>
    <w:rsid w:val="0000074A"/>
    <w:rsid w:val="00024BF5"/>
    <w:rsid w:val="000649BC"/>
    <w:rsid w:val="000979AE"/>
    <w:rsid w:val="000B106C"/>
    <w:rsid w:val="000C6901"/>
    <w:rsid w:val="000C7A1B"/>
    <w:rsid w:val="001200C2"/>
    <w:rsid w:val="00141C62"/>
    <w:rsid w:val="001423C0"/>
    <w:rsid w:val="001442A0"/>
    <w:rsid w:val="001612C9"/>
    <w:rsid w:val="00184613"/>
    <w:rsid w:val="00196A8C"/>
    <w:rsid w:val="001E2561"/>
    <w:rsid w:val="0024027A"/>
    <w:rsid w:val="0029463D"/>
    <w:rsid w:val="00300A22"/>
    <w:rsid w:val="00315D51"/>
    <w:rsid w:val="003319B2"/>
    <w:rsid w:val="003321DB"/>
    <w:rsid w:val="00386AB6"/>
    <w:rsid w:val="003A6B38"/>
    <w:rsid w:val="003B70E4"/>
    <w:rsid w:val="003E6D72"/>
    <w:rsid w:val="00437C90"/>
    <w:rsid w:val="00461629"/>
    <w:rsid w:val="0047727C"/>
    <w:rsid w:val="004A2274"/>
    <w:rsid w:val="004D1526"/>
    <w:rsid w:val="004E7EAC"/>
    <w:rsid w:val="004F6F58"/>
    <w:rsid w:val="00510A4E"/>
    <w:rsid w:val="00537435"/>
    <w:rsid w:val="006170D7"/>
    <w:rsid w:val="006525CC"/>
    <w:rsid w:val="006B2B48"/>
    <w:rsid w:val="006B36CC"/>
    <w:rsid w:val="006F24C5"/>
    <w:rsid w:val="0071123C"/>
    <w:rsid w:val="007319D8"/>
    <w:rsid w:val="00752A71"/>
    <w:rsid w:val="0075586E"/>
    <w:rsid w:val="007703EA"/>
    <w:rsid w:val="007754C7"/>
    <w:rsid w:val="007A3F66"/>
    <w:rsid w:val="007F3CF5"/>
    <w:rsid w:val="0080390B"/>
    <w:rsid w:val="00814288"/>
    <w:rsid w:val="0088245C"/>
    <w:rsid w:val="008B618D"/>
    <w:rsid w:val="008C272E"/>
    <w:rsid w:val="008D4788"/>
    <w:rsid w:val="009D6EA4"/>
    <w:rsid w:val="00A14298"/>
    <w:rsid w:val="00A3093E"/>
    <w:rsid w:val="00B2793A"/>
    <w:rsid w:val="00B37DBC"/>
    <w:rsid w:val="00B51996"/>
    <w:rsid w:val="00B53FE4"/>
    <w:rsid w:val="00B73FC3"/>
    <w:rsid w:val="00BB73CD"/>
    <w:rsid w:val="00BD3BF6"/>
    <w:rsid w:val="00BE014E"/>
    <w:rsid w:val="00BE7C8B"/>
    <w:rsid w:val="00C77B2C"/>
    <w:rsid w:val="00C96CEA"/>
    <w:rsid w:val="00CA76CA"/>
    <w:rsid w:val="00D70B96"/>
    <w:rsid w:val="00DA2A54"/>
    <w:rsid w:val="00DE0795"/>
    <w:rsid w:val="00DF12EA"/>
    <w:rsid w:val="00DF399B"/>
    <w:rsid w:val="00ED06D9"/>
    <w:rsid w:val="00EF226D"/>
    <w:rsid w:val="00F118F4"/>
    <w:rsid w:val="00F262FB"/>
    <w:rsid w:val="00F3677D"/>
    <w:rsid w:val="00FA1B5B"/>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B2C"/>
    <w:pPr>
      <w:spacing w:after="0" w:line="240" w:lineRule="auto"/>
      <w:ind w:left="720"/>
    </w:pPr>
    <w:rPr>
      <w:rFonts w:ascii="Calibri" w:hAnsi="Calibri" w:cs="Calibri"/>
    </w:rPr>
  </w:style>
  <w:style w:type="table" w:customStyle="1" w:styleId="LightList-Accent12">
    <w:name w:val="Light List - Accent 12"/>
    <w:basedOn w:val="TableNormal"/>
    <w:uiPriority w:val="61"/>
    <w:rsid w:val="00C77B2C"/>
    <w:pPr>
      <w:spacing w:after="0" w:line="240" w:lineRule="auto"/>
    </w:pPr>
    <w:rPr>
      <w:rFonts w:ascii="Calibri" w:eastAsia="Calibri" w:hAnsi="Calibri" w:cs="Times New Roman"/>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C77B2C"/>
    <w:rPr>
      <w:rFonts w:ascii="Calibri" w:eastAsiaTheme="minorEastAsia" w:hAnsi="Calibri" w:cs="Calibri"/>
    </w:rPr>
  </w:style>
  <w:style w:type="character" w:styleId="CommentReference">
    <w:name w:val="annotation reference"/>
    <w:basedOn w:val="DefaultParagraphFont"/>
    <w:uiPriority w:val="99"/>
    <w:semiHidden/>
    <w:unhideWhenUsed/>
    <w:rsid w:val="00D70B96"/>
    <w:rPr>
      <w:sz w:val="16"/>
      <w:szCs w:val="16"/>
    </w:rPr>
  </w:style>
  <w:style w:type="paragraph" w:styleId="CommentText">
    <w:name w:val="annotation text"/>
    <w:basedOn w:val="Normal"/>
    <w:link w:val="CommentTextChar"/>
    <w:uiPriority w:val="99"/>
    <w:semiHidden/>
    <w:unhideWhenUsed/>
    <w:rsid w:val="00D70B96"/>
    <w:pPr>
      <w:spacing w:line="240" w:lineRule="auto"/>
    </w:pPr>
    <w:rPr>
      <w:sz w:val="20"/>
      <w:szCs w:val="20"/>
    </w:rPr>
  </w:style>
  <w:style w:type="character" w:customStyle="1" w:styleId="CommentTextChar">
    <w:name w:val="Comment Text Char"/>
    <w:basedOn w:val="DefaultParagraphFont"/>
    <w:link w:val="CommentText"/>
    <w:uiPriority w:val="99"/>
    <w:semiHidden/>
    <w:rsid w:val="00D70B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0B96"/>
    <w:rPr>
      <w:b/>
      <w:bCs/>
    </w:rPr>
  </w:style>
  <w:style w:type="character" w:customStyle="1" w:styleId="CommentSubjectChar">
    <w:name w:val="Comment Subject Char"/>
    <w:basedOn w:val="CommentTextChar"/>
    <w:link w:val="CommentSubject"/>
    <w:uiPriority w:val="99"/>
    <w:semiHidden/>
    <w:rsid w:val="00D70B96"/>
    <w:rPr>
      <w:rFonts w:eastAsiaTheme="minorEastAsia"/>
      <w:b/>
      <w:bCs/>
      <w:sz w:val="20"/>
      <w:szCs w:val="20"/>
    </w:rPr>
  </w:style>
  <w:style w:type="paragraph" w:styleId="BalloonText">
    <w:name w:val="Balloon Text"/>
    <w:basedOn w:val="Normal"/>
    <w:link w:val="BalloonTextChar"/>
    <w:uiPriority w:val="99"/>
    <w:semiHidden/>
    <w:unhideWhenUsed/>
    <w:rsid w:val="00D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6"/>
    <w:rPr>
      <w:rFonts w:ascii="Tahoma" w:eastAsiaTheme="minorEastAsia" w:hAnsi="Tahoma" w:cs="Tahoma"/>
      <w:sz w:val="16"/>
      <w:szCs w:val="16"/>
    </w:rPr>
  </w:style>
  <w:style w:type="paragraph" w:styleId="Header">
    <w:name w:val="header"/>
    <w:basedOn w:val="Normal"/>
    <w:link w:val="HeaderChar"/>
    <w:uiPriority w:val="99"/>
    <w:unhideWhenUsed/>
    <w:rsid w:val="00F1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F4"/>
    <w:rPr>
      <w:rFonts w:eastAsiaTheme="minorEastAsia"/>
    </w:rPr>
  </w:style>
  <w:style w:type="paragraph" w:styleId="Footer">
    <w:name w:val="footer"/>
    <w:basedOn w:val="Normal"/>
    <w:link w:val="FooterChar"/>
    <w:uiPriority w:val="99"/>
    <w:unhideWhenUsed/>
    <w:rsid w:val="00F1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F4"/>
    <w:rPr>
      <w:rFonts w:eastAsiaTheme="minorEastAsia"/>
    </w:rPr>
  </w:style>
  <w:style w:type="table" w:styleId="TableGrid">
    <w:name w:val="Table Grid"/>
    <w:basedOn w:val="TableNormal"/>
    <w:uiPriority w:val="59"/>
    <w:rsid w:val="00FD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BUR text"/>
    <w:link w:val="NoSpacingChar"/>
    <w:uiPriority w:val="1"/>
    <w:qFormat/>
    <w:rsid w:val="00300A22"/>
    <w:pPr>
      <w:spacing w:after="0" w:line="240" w:lineRule="auto"/>
    </w:pPr>
  </w:style>
  <w:style w:type="character" w:customStyle="1" w:styleId="NoSpacingChar">
    <w:name w:val="No Spacing Char"/>
    <w:aliases w:val="BUR text Char"/>
    <w:link w:val="NoSpacing"/>
    <w:uiPriority w:val="1"/>
    <w:rsid w:val="00B27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B2C"/>
    <w:pPr>
      <w:spacing w:after="0" w:line="240" w:lineRule="auto"/>
      <w:ind w:left="720"/>
    </w:pPr>
    <w:rPr>
      <w:rFonts w:ascii="Calibri" w:hAnsi="Calibri" w:cs="Calibri"/>
    </w:rPr>
  </w:style>
  <w:style w:type="table" w:customStyle="1" w:styleId="LightList-Accent12">
    <w:name w:val="Light List - Accent 12"/>
    <w:basedOn w:val="TableNormal"/>
    <w:uiPriority w:val="61"/>
    <w:rsid w:val="00C77B2C"/>
    <w:pPr>
      <w:spacing w:after="0" w:line="240" w:lineRule="auto"/>
    </w:pPr>
    <w:rPr>
      <w:rFonts w:ascii="Calibri" w:eastAsia="Calibri" w:hAnsi="Calibri" w:cs="Times New Roman"/>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C77B2C"/>
    <w:rPr>
      <w:rFonts w:ascii="Calibri" w:eastAsiaTheme="minorEastAsia" w:hAnsi="Calibri" w:cs="Calibri"/>
    </w:rPr>
  </w:style>
  <w:style w:type="character" w:styleId="CommentReference">
    <w:name w:val="annotation reference"/>
    <w:basedOn w:val="DefaultParagraphFont"/>
    <w:uiPriority w:val="99"/>
    <w:semiHidden/>
    <w:unhideWhenUsed/>
    <w:rsid w:val="00D70B96"/>
    <w:rPr>
      <w:sz w:val="16"/>
      <w:szCs w:val="16"/>
    </w:rPr>
  </w:style>
  <w:style w:type="paragraph" w:styleId="CommentText">
    <w:name w:val="annotation text"/>
    <w:basedOn w:val="Normal"/>
    <w:link w:val="CommentTextChar"/>
    <w:uiPriority w:val="99"/>
    <w:semiHidden/>
    <w:unhideWhenUsed/>
    <w:rsid w:val="00D70B96"/>
    <w:pPr>
      <w:spacing w:line="240" w:lineRule="auto"/>
    </w:pPr>
    <w:rPr>
      <w:sz w:val="20"/>
      <w:szCs w:val="20"/>
    </w:rPr>
  </w:style>
  <w:style w:type="character" w:customStyle="1" w:styleId="CommentTextChar">
    <w:name w:val="Comment Text Char"/>
    <w:basedOn w:val="DefaultParagraphFont"/>
    <w:link w:val="CommentText"/>
    <w:uiPriority w:val="99"/>
    <w:semiHidden/>
    <w:rsid w:val="00D70B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0B96"/>
    <w:rPr>
      <w:b/>
      <w:bCs/>
    </w:rPr>
  </w:style>
  <w:style w:type="character" w:customStyle="1" w:styleId="CommentSubjectChar">
    <w:name w:val="Comment Subject Char"/>
    <w:basedOn w:val="CommentTextChar"/>
    <w:link w:val="CommentSubject"/>
    <w:uiPriority w:val="99"/>
    <w:semiHidden/>
    <w:rsid w:val="00D70B96"/>
    <w:rPr>
      <w:rFonts w:eastAsiaTheme="minorEastAsia"/>
      <w:b/>
      <w:bCs/>
      <w:sz w:val="20"/>
      <w:szCs w:val="20"/>
    </w:rPr>
  </w:style>
  <w:style w:type="paragraph" w:styleId="BalloonText">
    <w:name w:val="Balloon Text"/>
    <w:basedOn w:val="Normal"/>
    <w:link w:val="BalloonTextChar"/>
    <w:uiPriority w:val="99"/>
    <w:semiHidden/>
    <w:unhideWhenUsed/>
    <w:rsid w:val="00D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6"/>
    <w:rPr>
      <w:rFonts w:ascii="Tahoma" w:eastAsiaTheme="minorEastAsia" w:hAnsi="Tahoma" w:cs="Tahoma"/>
      <w:sz w:val="16"/>
      <w:szCs w:val="16"/>
    </w:rPr>
  </w:style>
  <w:style w:type="paragraph" w:styleId="Header">
    <w:name w:val="header"/>
    <w:basedOn w:val="Normal"/>
    <w:link w:val="HeaderChar"/>
    <w:uiPriority w:val="99"/>
    <w:unhideWhenUsed/>
    <w:rsid w:val="00F1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F4"/>
    <w:rPr>
      <w:rFonts w:eastAsiaTheme="minorEastAsia"/>
    </w:rPr>
  </w:style>
  <w:style w:type="paragraph" w:styleId="Footer">
    <w:name w:val="footer"/>
    <w:basedOn w:val="Normal"/>
    <w:link w:val="FooterChar"/>
    <w:uiPriority w:val="99"/>
    <w:unhideWhenUsed/>
    <w:rsid w:val="00F1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F4"/>
    <w:rPr>
      <w:rFonts w:eastAsiaTheme="minorEastAsia"/>
    </w:rPr>
  </w:style>
  <w:style w:type="table" w:styleId="TableGrid">
    <w:name w:val="Table Grid"/>
    <w:basedOn w:val="TableNormal"/>
    <w:uiPriority w:val="59"/>
    <w:rsid w:val="00FD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BUR text"/>
    <w:link w:val="NoSpacingChar"/>
    <w:uiPriority w:val="1"/>
    <w:qFormat/>
    <w:rsid w:val="00300A22"/>
    <w:pPr>
      <w:spacing w:after="0" w:line="240" w:lineRule="auto"/>
    </w:pPr>
  </w:style>
  <w:style w:type="character" w:customStyle="1" w:styleId="NoSpacingChar">
    <w:name w:val="No Spacing Char"/>
    <w:aliases w:val="BUR text Char"/>
    <w:link w:val="NoSpacing"/>
    <w:uiPriority w:val="1"/>
    <w:rsid w:val="00B2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2015-09-18T13:00:00+00:00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00065880</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ATLASPDC-4-38653</_dlc_DocId>
    <_dlc_DocIdUrl xmlns="f1161f5b-24a3-4c2d-bc81-44cb9325e8ee">
      <Url>https://info.undp.org/docs/pdc/_layouts/DocIdRedir.aspx?ID=ATLASPDC-4-38653</Url>
      <Description>ATLASPDC-4-38653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A6C5245-B73F-49FE-9F84-E379114C1485}"/>
</file>

<file path=customXml/itemProps2.xml><?xml version="1.0" encoding="utf-8"?>
<ds:datastoreItem xmlns:ds="http://schemas.openxmlformats.org/officeDocument/2006/customXml" ds:itemID="{2AB36B48-1A8C-445B-9CC7-8C4C41E556CB}"/>
</file>

<file path=customXml/itemProps3.xml><?xml version="1.0" encoding="utf-8"?>
<ds:datastoreItem xmlns:ds="http://schemas.openxmlformats.org/officeDocument/2006/customXml" ds:itemID="{88BCEB72-EF5E-4A3B-A009-E9C3B287AB69}"/>
</file>

<file path=customXml/itemProps4.xml><?xml version="1.0" encoding="utf-8"?>
<ds:datastoreItem xmlns:ds="http://schemas.openxmlformats.org/officeDocument/2006/customXml" ds:itemID="{3C06C262-A53E-46CB-A2D1-E0C53A272DC4}"/>
</file>

<file path=customXml/itemProps5.xml><?xml version="1.0" encoding="utf-8"?>
<ds:datastoreItem xmlns:ds="http://schemas.openxmlformats.org/officeDocument/2006/customXml" ds:itemID="{0BA2F1E3-084C-4B26-B51B-A893E05A2056}"/>
</file>

<file path=customXml/itemProps6.xml><?xml version="1.0" encoding="utf-8"?>
<ds:datastoreItem xmlns:ds="http://schemas.openxmlformats.org/officeDocument/2006/customXml" ds:itemID="{917C6884-6935-42A5-B773-E8A60063184F}"/>
</file>

<file path=docProps/app.xml><?xml version="1.0" encoding="utf-8"?>
<Properties xmlns="http://schemas.openxmlformats.org/officeDocument/2006/extended-properties" xmlns:vt="http://schemas.openxmlformats.org/officeDocument/2006/docPropsVTypes">
  <Template>Normal</Template>
  <TotalTime>22</TotalTime>
  <Pages>10</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Carman</dc:creator>
  <cp:lastModifiedBy>benefor</cp:lastModifiedBy>
  <cp:revision>7</cp:revision>
  <dcterms:created xsi:type="dcterms:W3CDTF">2014-01-27T10:39:00Z</dcterms:created>
  <dcterms:modified xsi:type="dcterms:W3CDTF">2014-02-01T13:40:00Z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36b4630f-d7b8-4b77-a0a9-5d9133752025</vt:lpwstr>
  </property>
  <property fmtid="{D5CDD505-2E9C-101B-9397-08002B2CF9AE}" pid="18" name="URL">
    <vt:lpwstr/>
  </property>
  <property fmtid="{D5CDD505-2E9C-101B-9397-08002B2CF9AE}" pid="19" name="DocumentSetDescription">
    <vt:lpwstr/>
  </property>
</Properties>
</file>